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EVENTS, AMUSEMENTS, AND OTHER RELATED ACTIVITIES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701—216.1</w:t>
      </w:r>
      <w:r>
        <w:rPr>
          <w:rFonts w:ascii="Times New Roman" w:hAnsi="Times New Roman"/>
          <w:b/>
          <w:i w:val="false"/>
          <w:color w:val="000000"/>
          <w:sz w:val="22"/>
        </w:rPr>
        <w:t xml:space="preserve">(423) </w:t>
      </w:r>
      <w:r>
        <w:rPr>
          <w:rFonts w:ascii="Times New Roman" w:hAnsi="Times New Roman"/>
          <w:b/>
          <w:i w:val="false"/>
          <w:color w:val="000000"/>
          <w:sz w:val="22"/>
        </w:rPr>
        <w:t xml:space="preserve">Athletic events. </w:t>
      </w:r>
      <w:r>
        <w:rPr>
          <w:rFonts w:ascii="Times New Roman" w:hAnsi="Times New Roman"/>
          <w:b w:val="false"/>
          <w:i w:val="false"/>
          <w:color w:val="000000"/>
          <w:sz w:val="22"/>
        </w:rPr>
        <w:t xml:space="preserve">The sales price from the sale of tickets or admissions to athletic events occurring in the state of Iowa and sponsored by educational institutions, without regard to the use of the proceeds from such sales, is subject to tax, except when the events are sponsored by elementary and secondary educational institutions.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701—216.2</w:t>
      </w:r>
      <w:r>
        <w:rPr>
          <w:rFonts w:ascii="Times New Roman" w:hAnsi="Times New Roman"/>
          <w:b/>
          <w:i w:val="false"/>
          <w:color w:val="000000"/>
          <w:sz w:val="22"/>
        </w:rPr>
        <w:t xml:space="preserve">(423) </w:t>
      </w:r>
      <w:r>
        <w:rPr>
          <w:rFonts w:ascii="Times New Roman" w:hAnsi="Times New Roman"/>
          <w:b/>
          <w:i w:val="false"/>
          <w:color w:val="000000"/>
          <w:sz w:val="22"/>
        </w:rPr>
        <w:t xml:space="preserve">Dance schools and dance studios.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from the services sold by dance schools or dance studios is subject to sales tax. This includes all activities, such as acrobatics, exercise, baton-twirling, tumbling, or modeling taught in dance schools or dance studios.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“Dance school” </w:t>
      </w:r>
      <w:r>
        <w:rPr>
          <w:rFonts w:ascii="Times New Roman" w:hAnsi="Times New Roman"/>
          <w:b w:val="false"/>
          <w:i w:val="false"/>
          <w:color w:val="000000"/>
          <w:sz w:val="22"/>
        </w:rPr>
        <w:t>means any institution established primarily for the purpose of teaching one or more types of dancing.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“Dance studio” </w:t>
      </w:r>
      <w:r>
        <w:rPr>
          <w:rFonts w:ascii="Times New Roman" w:hAnsi="Times New Roman"/>
          <w:b w:val="false"/>
          <w:i w:val="false"/>
          <w:color w:val="000000"/>
          <w:sz w:val="22"/>
        </w:rPr>
        <w:t>means any room or groups of rooms in which any one or more types of dancing are taught.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423.2(6)</w:t>
        </w:r>
      </w:hyperlink>
      <w:r>
        <w:rPr>
          <w:rFonts w:ascii="Times New Roman" w:hAnsi="Times New Roman"/>
          <w:b w:val="false"/>
          <w:i/>
          <w:color w:val="000000"/>
          <w:sz w:val="22"/>
        </w:rPr>
        <w:t>“m.”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701—216.3</w:t>
      </w:r>
      <w:r>
        <w:rPr>
          <w:rFonts w:ascii="Times New Roman" w:hAnsi="Times New Roman"/>
          <w:b/>
          <w:i w:val="false"/>
          <w:color w:val="000000"/>
          <w:sz w:val="22"/>
        </w:rPr>
        <w:t xml:space="preserve">(423) </w:t>
      </w:r>
      <w:r>
        <w:rPr>
          <w:rFonts w:ascii="Times New Roman" w:hAnsi="Times New Roman"/>
          <w:b/>
          <w:i w:val="false"/>
          <w:color w:val="000000"/>
          <w:sz w:val="22"/>
        </w:rPr>
        <w:t xml:space="preserve">Golf and country clubs and all commercial recreation. </w:t>
      </w:r>
      <w:r>
        <w:rPr>
          <w:rFonts w:ascii="Times New Roman" w:hAnsi="Times New Roman"/>
          <w:b w:val="false"/>
          <w:i w:val="false"/>
          <w:color w:val="000000"/>
          <w:sz w:val="22"/>
        </w:rPr>
        <w:t xml:space="preserve">All fees, dues or charges paid to golf and country clubs are subject to tax. “Country clubs” include all clubs or clubhouses providing golf and other athletic sports for members. Persons providing facilities for recreation for a charge are rendering, furnishing or performing a service, the sales price of which is subject to tax. “Recreation” includes all activities pursued for pleasure, including sports, games and activities that promote physical fitness, but does not include admissions otherwise taxed under Iowa Code section </w:t>
      </w:r>
      <w:hyperlink r:id="rId7">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val="false"/>
          <w:color w:val="000000"/>
          <w:sz w:val="22"/>
        </w:rPr>
        <w:t xml:space="preserve">Dance schools are the only schools the services of which are taxable under Iowa Code section </w:t>
      </w:r>
      <w:hyperlink r:id="rId8">
        <w:r>
          <w:rPr>
            <w:rStyle w:val="Hyperlink"/>
            <w:rFonts w:ascii="Times New Roman" w:hAnsi="Times New Roman"/>
            <w:b w:val="false"/>
            <w:i w:val="false"/>
            <w:color w:val="000000"/>
            <w:sz w:val="22"/>
          </w:rPr>
          <w:t>423.2(6)</w:t>
        </w:r>
      </w:hyperlink>
      <w:r>
        <w:rPr>
          <w:rFonts w:ascii="Times New Roman" w:hAnsi="Times New Roman"/>
          <w:b w:val="false"/>
          <w:i w:val="false"/>
          <w:color w:val="000000"/>
          <w:sz w:val="22"/>
        </w:rPr>
        <w:t xml:space="preserve">. Rule </w:t>
      </w:r>
      <w:hyperlink r:id="rId9">
        <w:r>
          <w:rPr>
            <w:rStyle w:val="Hyperlink"/>
            <w:rFonts w:ascii="Times New Roman" w:hAnsi="Times New Roman"/>
            <w:b w:val="false"/>
            <w:i w:val="false"/>
            <w:color w:val="000000"/>
            <w:sz w:val="22"/>
          </w:rPr>
          <w:t>701—216.2</w:t>
        </w:r>
      </w:hyperlink>
      <w:r>
        <w:rPr>
          <w:rFonts w:ascii="Times New Roman" w:hAnsi="Times New Roman"/>
          <w:b w:val="false"/>
          <w:i w:val="false"/>
          <w:color w:val="000000"/>
          <w:sz w:val="22"/>
        </w:rPr>
        <w:t>(423) contains information on dance schools and dance studios. The sales price from any school providing training services in any activity pursued for pleasure or recreation shall not be subject to tax, unless the school is a dance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val="false"/>
          <w:color w:val="000000"/>
          <w:sz w:val="22"/>
        </w:rPr>
        <w:t>If a person provides both facilities for recreation and instruction in recreational activities, charges for instruction in the recreational activities shall not be subject to tax if all of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instruction charges are contracted for separately, separately billed, and reasonable in amount when compared to the taxable charges of providing facilities for recreation.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An ice skating rink offers three membership plans. The first membership plan provides only instruction in the activity of ice skating. The second plan allows for the use of the rink’s facilities, but provides for no instruction in ice skating. The third plan allows the customer to participate in a certain number of ice skating classes and also allows use of the rink’s facilities without instruction. Customer charges for the first plan would not be subject to tax. Customer charges for the second plan would be subject to tax. Charges for the third plan would be subject to tax if billed in one lump sum. If, under the third plan, charges to the customer for instruction and use are separately stated, and the charges for instruction are not unreasonable, the charges for instruction shall be exempt from tax. If it is necessary to pay for instruction to secure use of the facilities for recreation, charges for the instruction are a part of the gross receipts from commercial recreation and shall be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receiving the instruction must be under the guidance and direction of a person training them in how to perform the recreational activity. If the persons receiving what purports to be “instruction” are allowed any substantial amount of time to pursue recreational activities, no instruction is taking place. The instruction should be received in what would ordinarily be thought of as a “class” with a fixed time and place for meeting. The instruction need not be received in what would ordinarily be thought of as a “classroom,” but the instructor and the persons receiving instruction should be segregated from persons engaging in recreational activity insofar as this is possible. Instruction may still occur if complete or partial segregation is impossible.</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 golf pro offers instruction to students on a golf course. The students cannot circulate around the golf course in a group with the golf pro because this would slow the play of golfers following such a group and lead to complaints. The students circulate on the course individually, and the golf pro observes the play of each student and comments upon it. Even though no segregation of the individual students into any sort of a class is possible, the students are receiving instruction from the golf pro and, therefore, no taxable event occurs.</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 retailer maintains a golf driving range. There are separate tee-off positions for each customer to practice driving golf balls. There is also an instructor in driving present. The instructor cannot reserve individual tee-off positions for instruction of students because the positions are filled on a first-come, first-served basis. When students come for instruction, the instructor must make use of whatever tee-off positions are available. Even though segregation of students from other customers is impossible, instruction exists and, therefore, no taxable event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“instruction” must impart to the learner a level of knowledge or skill in the recreational activity that would not be known to the ordinary person engaging in the recreational activity without instruction. Also, the person providing the instruction must have received some special training in the recreational activity taught if charges for that person’s instruction are to be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423.2(6)</w:t>
        </w:r>
      </w:hyperlink>
      <w:r>
        <w:rPr>
          <w:rFonts w:ascii="Times New Roman" w:hAnsi="Times New Roman"/>
          <w:b w:val="false"/>
          <w:i/>
          <w:color w:val="000000"/>
          <w:sz w:val="22"/>
        </w:rPr>
        <w:t>“v.”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701—216.4</w:t>
      </w:r>
      <w:r>
        <w:rPr>
          <w:rFonts w:ascii="Times New Roman" w:hAnsi="Times New Roman"/>
          <w:b/>
          <w:i w:val="false"/>
          <w:color w:val="000000"/>
          <w:sz w:val="22"/>
        </w:rPr>
        <w:t xml:space="preserve">(423) </w:t>
      </w:r>
      <w:r>
        <w:rPr>
          <w:rFonts w:ascii="Times New Roman" w:hAnsi="Times New Roman"/>
          <w:b/>
          <w:i w:val="false"/>
          <w:color w:val="000000"/>
          <w:sz w:val="22"/>
        </w:rPr>
        <w:t xml:space="preserve">Campgrounds.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Persons engaged in the business of renting campground sites are selling a service subject to sales tax, regardless of the duration of the rental. This includes the sales price for the operation of a campground and the use of a campground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“Campground” </w:t>
      </w:r>
      <w:r>
        <w:rPr>
          <w:rFonts w:ascii="Times New Roman" w:hAnsi="Times New Roman"/>
          <w:b w:val="false"/>
          <w:i w:val="false"/>
          <w:color w:val="000000"/>
          <w:sz w:val="22"/>
        </w:rPr>
        <w:t xml:space="preserve">is any location at which sites are provided for persons to place their own temporary shelter, such as a tent, travel trailer, or motorhome. “Campground” does not include any hunting, fishing, or other type of camp where accommodations are provided, though such camps are likely subject to sales tax as commercial recreation under rule </w:t>
      </w:r>
      <w:hyperlink r:id="rId11">
        <w:r>
          <w:rPr>
            <w:rStyle w:val="Hyperlink"/>
            <w:rFonts w:ascii="Times New Roman" w:hAnsi="Times New Roman"/>
            <w:b w:val="false"/>
            <w:i w:val="false"/>
            <w:color w:val="000000"/>
            <w:sz w:val="22"/>
          </w:rPr>
          <w:t>701—216.3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216.4(3)</w:t>
      </w:r>
      <w:r>
        <w:rPr>
          <w:rFonts w:ascii="Times New Roman" w:hAnsi="Times New Roman"/>
          <w:b w:val="false"/>
          <w:i w:val="false"/>
          <w:color w:val="000000"/>
          <w:sz w:val="22"/>
        </w:rPr>
        <w:t> </w:t>
      </w:r>
      <w:r>
        <w:rPr>
          <w:rFonts w:ascii="Times New Roman" w:hAnsi="Times New Roman"/>
          <w:b w:val="false"/>
          <w:i/>
          <w:color w:val="000000"/>
          <w:sz w:val="22"/>
        </w:rPr>
        <w:t xml:space="preserve">Related charges. </w:t>
      </w:r>
      <w:r>
        <w:rPr>
          <w:rFonts w:ascii="Times New Roman" w:hAnsi="Times New Roman"/>
          <w:b w:val="false"/>
          <w:i w:val="false"/>
          <w:color w:val="000000"/>
          <w:sz w:val="22"/>
        </w:rPr>
        <w:t>The sale price of charges, whether mandatory or optional, imposed on persons using a campground site that are subject to sales tax include but are not limited to entry fees, utility (electric, water, sewer) fees, fees for the use of swimming pools or showers, and fees for extra persons or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216.4(4)</w:t>
      </w:r>
      <w:r>
        <w:rPr>
          <w:rFonts w:ascii="Times New Roman" w:hAnsi="Times New Roman"/>
          <w:b w:val="false"/>
          <w:i w:val="false"/>
          <w:color w:val="000000"/>
          <w:sz w:val="22"/>
        </w:rPr>
        <w:t> </w:t>
      </w:r>
      <w:r>
        <w:rPr>
          <w:rFonts w:ascii="Times New Roman" w:hAnsi="Times New Roman"/>
          <w:b w:val="false"/>
          <w:i/>
          <w:color w:val="000000"/>
          <w:sz w:val="22"/>
        </w:rPr>
        <w:t xml:space="preserve">Public parks.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sales price for the use of a state park as a campground is subject to sales tax; however, the sales price for the use of a county or municipal park as a campground is not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price of vehicle entry fees into any state, county, or municipal park, commonly called “park user fees,” is not subject to sales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423.2(6)</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701—216.5</w:t>
      </w:r>
      <w:r>
        <w:rPr>
          <w:rFonts w:ascii="Times New Roman" w:hAnsi="Times New Roman"/>
          <w:b/>
          <w:i w:val="false"/>
          <w:color w:val="000000"/>
          <w:sz w:val="22"/>
        </w:rPr>
        <w:t xml:space="preserve">(423) </w:t>
      </w:r>
      <w:r>
        <w:rPr>
          <w:rFonts w:ascii="Times New Roman" w:hAnsi="Times New Roman"/>
          <w:b/>
          <w:i w:val="false"/>
          <w:color w:val="000000"/>
          <w:sz w:val="22"/>
        </w:rPr>
        <w:t xml:space="preserve">Rental of personal property in connection with the operation of amusements. </w:t>
      </w:r>
      <w:r>
        <w:rPr>
          <w:rFonts w:ascii="Times New Roman" w:hAnsi="Times New Roman"/>
          <w:b w:val="false"/>
          <w:i w:val="false"/>
          <w:color w:val="000000"/>
          <w:sz w:val="22"/>
        </w:rPr>
        <w:t>The sales price from rental of tangible personal property in connection with the operation of amusements is taxable. Such rentals include all tangible personal property or equipment used by patrons in connection with the operation of commercial amusements, notwithstanding the fact that the rental of such personal property may be billed separately.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701—216.6</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by excursion boat 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sales price of the following sales by licensees authorized to operate excursion gambling boats is exempt from Iowa sales and use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Charges for admission to excursion gambling boats,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sales price from gambling games authorized by the state racing and gaming commission and conducted on excursion gambling boats.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The sales price from charges other than those for admissions or authorized gambling games would ordinarily be taxable. The following is a nonexclusive list of taxable licensee sales: parking fees, sales of souvenirs, vending machine sales, prepared meals, liquor and other beverage sales, and the sales price from nongambling video games and other types of games that do not involve gambling.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99F.10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701—216.7</w:t>
      </w:r>
      <w:r>
        <w:rPr>
          <w:rFonts w:ascii="Times New Roman" w:hAnsi="Times New Roman"/>
          <w:b/>
          <w:i w:val="false"/>
          <w:color w:val="000000"/>
          <w:sz w:val="22"/>
        </w:rPr>
        <w:t xml:space="preserve">(423) </w:t>
      </w:r>
      <w:r>
        <w:rPr>
          <w:rFonts w:ascii="Times New Roman" w:hAnsi="Times New Roman"/>
          <w:b/>
          <w:i w:val="false"/>
          <w:color w:val="000000"/>
          <w:sz w:val="22"/>
        </w:rPr>
        <w:t xml:space="preserve">Tangible personal property, specified digital products, or services given away as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The sales price from the sale of tangible personal property, specified digital products, or services that will be given as prizes to players in games of skill, games of chance, raffles, and bingo games as defined in and lawful under Iowa Code chapter </w:t>
      </w:r>
      <w:hyperlink r:id="rId1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exempt from tax. The rules issued by the department of inspections, appeals, and licensing in 481—Chapters 100 through 106 further describe the games of skill, games of chance, raffles, and bingo games that are lawful and may be lawfully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Gift certificates. </w:t>
      </w:r>
      <w:r>
        <w:rPr>
          <w:rFonts w:ascii="Times New Roman" w:hAnsi="Times New Roman"/>
          <w:b w:val="false"/>
          <w:i w:val="false"/>
          <w:color w:val="000000"/>
          <w:sz w:val="22"/>
        </w:rPr>
        <w:t>A gift certificate is not tangible personal property. If a person wins a gift certificate as a prize and then redeems the gift certificate for merchandise, tax is payable at the time the gift certificate is redeemed.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423.3(63)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7715C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7009C</w:t>
      </w:r>
      <w:r>
        <w:rPr>
          <w:rFonts w:ascii="Times New Roman" w:hAnsi="Times New Roman"/>
          <w:b w:val="false"/>
          <w:i w:val="false"/>
          <w:color w:val="000000"/>
          <w:sz w:val="21"/>
        </w:rPr>
        <w:t xml:space="preserve"> (Notice ARC 6947C, IAB 3/8/23)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7715C</w:t>
      </w:r>
      <w:r>
        <w:rPr>
          <w:rFonts w:ascii="Times New Roman" w:hAnsi="Times New Roman"/>
          <w:b w:val="false"/>
          <w:i w:val="false"/>
          <w:color w:val="000000"/>
          <w:sz w:val="21"/>
        </w:rPr>
        <w:t xml:space="preserve"> (Notice ARC 7377C, IAB 12/27/23)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2.pdf" Type="http://schemas.openxmlformats.org/officeDocument/2006/relationships/hyperlink" Id="rId5"/>
    <Relationship TargetMode="External" Target="https://www.legis.iowa.gov/docs/ico/chapter/423.2.pdf" Type="http://schemas.openxmlformats.org/officeDocument/2006/relationships/hyperlink" Id="rId6"/>
    <Relationship TargetMode="External" Target="https://www.legis.iowa.gov/docs/ico/chapter/423.2.pdf" Type="http://schemas.openxmlformats.org/officeDocument/2006/relationships/hyperlink" Id="rId7"/>
    <Relationship TargetMode="External" Target="https://www.legis.iowa.gov/docs/ico/chapter/423.2.pdf" Type="http://schemas.openxmlformats.org/officeDocument/2006/relationships/hyperlink" Id="rId8"/>
    <Relationship TargetMode="External" Target="https://www.legis.iowa.gov/docs/iac/rule/701.216.2.pdf" Type="http://schemas.openxmlformats.org/officeDocument/2006/relationships/hyperlink" Id="rId9"/>
    <Relationship TargetMode="External" Target="https://www.legis.iowa.gov/docs/ico/chapter/423.2.pdf" Type="http://schemas.openxmlformats.org/officeDocument/2006/relationships/hyperlink" Id="rId10"/>
    <Relationship TargetMode="External" Target="https://www.legis.iowa.gov/docs/iac/rule/701.216.3.pdf" Type="http://schemas.openxmlformats.org/officeDocument/2006/relationships/hyperlink" Id="rId11"/>
    <Relationship TargetMode="External" Target="https://www.legis.iowa.gov/docs/ico/chapter/423.2.pdf" Type="http://schemas.openxmlformats.org/officeDocument/2006/relationships/hyperlink" Id="rId12"/>
    <Relationship TargetMode="External" Target="https://www.legis.iowa.gov/docs/ico/chapter/423.2.pdf" Type="http://schemas.openxmlformats.org/officeDocument/2006/relationships/hyperlink" Id="rId13"/>
    <Relationship TargetMode="External" Target="https://www.legis.iowa.gov/docs/ico/chapter/99F.10.pdf" Type="http://schemas.openxmlformats.org/officeDocument/2006/relationships/hyperlink" Id="rId14"/>
    <Relationship TargetMode="External" Target="https://www.legis.iowa.gov/docs/ico/chapter/99B.pdf" Type="http://schemas.openxmlformats.org/officeDocument/2006/relationships/hyperlink" Id="rId15"/>
    <Relationship TargetMode="External" Target="https://www.legis.iowa.gov/docs/ico/chapter/423.3.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