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214</w:t>
      </w:r>
    </w:p>
    <w:p>
      <w:pPr>
        <w:spacing w:before="0" w:after="0"/>
        <w:ind w:left="120"/>
        <w:jc w:val="center"/>
      </w:pPr>
      <w:r>
        <w:rPr>
          <w:rFonts w:ascii="Times New Roman" w:hAnsi="Times New Roman"/>
          <w:b w:val="false"/>
          <w:i w:val="false"/>
          <w:color w:val="000000"/>
          <w:sz w:val="21"/>
        </w:rPr>
        <w:t>AGRICULTURAL RULES</w:t>
      </w:r>
    </w:p>
    <w:p>
      <w:pPr>
        <w:spacing w:before="0" w:after="0"/>
        <w:ind w:left="120"/>
        <w:jc w:val="center"/>
      </w:pPr>
      <w:r>
        <w:rPr>
          <w:rFonts w:ascii="Times New Roman" w:hAnsi="Times New Roman"/>
          <w:b w:val="false"/>
          <w:i w:val="false"/>
          <w:color w:val="000000"/>
          <w:sz w:val="14"/>
        </w:rPr>
        <w:t>[Prior to 9/7/22, see Revenue Department[701] Ch 226]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701—214.1</w:t>
      </w:r>
      <w:r>
        <w:rPr>
          <w:rFonts w:ascii="Times New Roman" w:hAnsi="Times New Roman"/>
          <w:b/>
          <w:i w:val="false"/>
          <w:color w:val="000000"/>
          <w:sz w:val="22"/>
        </w:rPr>
        <w:t xml:space="preserve">(423) </w:t>
      </w:r>
      <w:r>
        <w:rPr>
          <w:rFonts w:ascii="Times New Roman" w:hAnsi="Times New Roman"/>
          <w:b/>
          <w:i w:val="false"/>
          <w:color w:val="000000"/>
          <w:sz w:val="22"/>
        </w:rPr>
        <w:t xml:space="preserve">Farm machinery and equipment and items used in agricultural production that are attached to a self-propelled implement of husbandry. </w:t>
      </w:r>
      <w:r>
        <w:rPr>
          <w:rFonts w:ascii="Times New Roman" w:hAnsi="Times New Roman"/>
          <w:b w:val="false"/>
          <w:i w:val="false"/>
          <w:color w:val="000000"/>
          <w:sz w:val="22"/>
        </w:rPr>
        <w:t>The sales price from the sale of farm machinery and equipment directly and primarily used in production of agricultural products and certain items used in agricultural production that are attached to or towed by a self-propelled implement of husbandry is exempt from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Farm machinery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w:t>
      </w:r>
      <w:r>
        <w:rPr>
          <w:rFonts w:ascii="Times New Roman" w:hAnsi="Times New Roman"/>
          <w:b w:val="false"/>
          <w:i w:val="false"/>
          <w:color w:val="000000"/>
          <w:sz w:val="22"/>
        </w:rPr>
        <w:t>Under this rule, to be eligible for the exemption from the tax, the farm machinery or equipment must be directly and primarily used in production of agricultural products and must also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self-propelled implement;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implement customarily drawn or attached to a self-propelled implement;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grain dryer;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auxiliary attachment that improves the performance, safety, operation, or efficiency of a qualifying implement or grain dryer;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replacement part for any item described in subparagraph </w:t>
      </w:r>
      <w:hyperlink r:id="rId5">
        <w:r>
          <w:rPr>
            <w:rStyle w:val="Hyperlink"/>
            <w:rFonts w:ascii="Times New Roman" w:hAnsi="Times New Roman"/>
            <w:b w:val="false"/>
            <w:i w:val="false"/>
            <w:color w:val="000000"/>
            <w:sz w:val="22"/>
          </w:rPr>
          <w:t>214.1(1)</w:t>
        </w:r>
      </w:hyperlink>
      <w:r>
        <w:rPr>
          <w:rFonts w:ascii="Times New Roman" w:hAnsi="Times New Roman"/>
          <w:b w:val="false"/>
          <w:i/>
          <w:color w:val="000000"/>
          <w:sz w:val="22"/>
        </w:rPr>
        <w:t>“a”</w:t>
      </w:r>
      <w:r>
        <w:rPr>
          <w:rFonts w:ascii="Times New Roman" w:hAnsi="Times New Roman"/>
          <w:b w:val="false"/>
          <w:i w:val="false"/>
          <w:color w:val="000000"/>
          <w:sz w:val="22"/>
        </w:rPr>
        <w:t>(1), (2), (3), or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Taxable. </w:t>
      </w:r>
      <w:r>
        <w:rPr>
          <w:rFonts w:ascii="Times New Roman" w:hAnsi="Times New Roman"/>
          <w:b w:val="false"/>
          <w:i w:val="false"/>
          <w:color w:val="000000"/>
          <w:sz w:val="22"/>
        </w:rPr>
        <w:t xml:space="preserve">A vehicle subject to registration as defined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 an implement customarily drawn by or attached to a vehicle subject to registration, an auxiliary attachment for a vehicle subject to registration, or any replacement part for a vehicle, implement, or auxiliary attachment for a vehicle subject to registration is not eligible for the exemption allowed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Attachments to self-propelled implements of husbandry.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 </w:t>
      </w:r>
      <w:r>
        <w:rPr>
          <w:rFonts w:ascii="Times New Roman" w:hAnsi="Times New Roman"/>
          <w:b w:val="false"/>
          <w:i w:val="false"/>
          <w:color w:val="000000"/>
          <w:sz w:val="22"/>
        </w:rPr>
        <w:t>Exempt from the tax under this rule are the following items if, and only if, they are used in agricultural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snow blower that is to be attached to a self-propelled implement of husbandry;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rear-mounted or front-mounted blade that is to be attached to or towed by a self-propelled implement of husbandry;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rotary cutter that is to be attached to a self-propelled implement of husbandry.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Used in agricultural production. </w:t>
      </w:r>
      <w:r>
        <w:rPr>
          <w:rFonts w:ascii="Times New Roman" w:hAnsi="Times New Roman"/>
          <w:b w:val="false"/>
          <w:i w:val="false"/>
          <w:color w:val="000000"/>
          <w:sz w:val="22"/>
        </w:rPr>
        <w:t xml:space="preserve">Under this subrule, the items must be used in agricultural production, and not “directly and primarily” used in production of agricultural products as is required under subrule </w:t>
      </w:r>
      <w:hyperlink r:id="rId7">
        <w:r>
          <w:rPr>
            <w:rStyle w:val="Hyperlink"/>
            <w:rFonts w:ascii="Times New Roman" w:hAnsi="Times New Roman"/>
            <w:b w:val="false"/>
            <w:i w:val="false"/>
            <w:color w:val="000000"/>
            <w:sz w:val="22"/>
          </w:rPr>
          <w:t>214.1(1)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Jones purchases a front-mounted blade that will be attached to a self-propelled implement of husbandry (e.g., farming tractor). Farmer Jones primarily uses the blade to prepare previously uncultivated land—a use that is not for agricultural production. However, Farmer Jones sporadically uses the front-mounted blade for agricultural production. Even though Farmer Jones does not directly and primarily use the front-mounted blade in agricultural production, the front-mounted blade is exempt from sales or use tax because the blade is occasionally used in agricultural production and it is attached to a self-propelled implement of husbandry.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214.1(3)</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specific provisions. </w:t>
      </w:r>
      <w:r>
        <w:rPr>
          <w:rFonts w:ascii="Times New Roman" w:hAnsi="Times New Roman"/>
          <w:b w:val="false"/>
          <w:i w:val="false"/>
          <w:color w:val="000000"/>
          <w:sz w:val="22"/>
        </w:rPr>
        <w:t>For the purposes of this rule, the following definitions and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Production of agricultural products. </w:t>
      </w:r>
      <w:r>
        <w:rPr>
          <w:rFonts w:ascii="Times New Roman" w:hAnsi="Times New Roman"/>
          <w:b w:val="false"/>
          <w:i w:val="false"/>
          <w:color w:val="000000"/>
          <w:sz w:val="22"/>
        </w:rPr>
        <w:t xml:space="preserve">The term “production of agricultural products” means the same as the term “agricultural production,” which is defined in rule </w:t>
      </w:r>
      <w:hyperlink r:id="rId8">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to mean a farming operation undertaken for profit by the raising of crops or livestock. Nonexclusive examples of items not included within the meaning of the term “agricultural production” are the clearing or preparation of previously uncultivated land, the creation of farm ponds, and the erection of machine sheds, confinement facilities, storage bins, or other farm buildings. Machinery and equipment used for these purposes would be used for activities that are preparatory to, but not a part of, the production of agricultural products and, therefore, are not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Farm machinery and equipment. </w:t>
      </w:r>
      <w:r>
        <w:rPr>
          <w:rFonts w:ascii="Times New Roman" w:hAnsi="Times New Roman"/>
          <w:b w:val="false"/>
          <w:i w:val="false"/>
          <w:color w:val="000000"/>
          <w:sz w:val="22"/>
        </w:rPr>
        <w:t>The term “farm machinery and equipment” means machinery and equipment specifically designed for use in the production of agricultural products and machinery and equipment that are not specifically designed for use in the production of agricultural products but are directly and primarily used for that purpose.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Jones raises livestock, and his farming operation requires that fences be repaired to confine the livestock. Farmer Jones purchases a posthole digger that is customarily attached to a tractor and uses the digger to repair the fences used to confine the livestock. The posthole digger is not specifically designed for use in the production of agricultural products but is directly and primarily used in the production of agricultural products. Therefore, the exemption would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Self-propelled implement. </w:t>
      </w:r>
      <w:r>
        <w:rPr>
          <w:rFonts w:ascii="Times New Roman" w:hAnsi="Times New Roman"/>
          <w:b w:val="false"/>
          <w:i w:val="false"/>
          <w:color w:val="000000"/>
          <w:sz w:val="22"/>
        </w:rPr>
        <w:t>The term “self-propelled implement” means an implement that is capable of movement from one place to another under its own power. An implement is not self-propelled merely because it has moving parts. The term “self-propelled implement” includes, but is not limited to, the following items: skid loaders and tractors. The term also includes, but is not limited to, the following machinery if capable of movement under its own power: combines, corn pickers, fertilizer spreaders, hay conditioners and windrowers, sprayers, and bean buggies.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Implements customarily drawn or attached to self-propelled implements. </w:t>
      </w:r>
      <w:r>
        <w:rPr>
          <w:rFonts w:ascii="Times New Roman" w:hAnsi="Times New Roman"/>
          <w:b w:val="false"/>
          <w:i w:val="false"/>
          <w:color w:val="000000"/>
          <w:sz w:val="22"/>
        </w:rPr>
        <w:t>The following is a nonexclusive, representative list of implements customarily drawn or attached to self-propelled implements: augers, balers, blowers, combines, conveyers, cultivators, disks, drags, dryers (portable), farm wagons, feeder wagons, fertilizer spreaders, front- and rear-end loaders, harrows, hay loaders, hay mowers, hay rakes, husking machines, manure spreaders, planters, plows, rotary hoes, sprayers and tanks, and tillage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Directly used in agricultural production.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is “directly used” only if it is used to initiate, sustain, or terminate an exempt activity. In determining whether any property is directly used, consideration should be given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physical proximity of the property to other property clearly exempt as directly used in agricultural production. The closer the property is to exempt property, the more likely it is that the property is directly used in agricultural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chronological proximity of the use of the property in question to the use of property clearly exempt as directly used in agricultural production. The closer the proximity of the property’s use within the production process to the use of exempt property, the more likely the use is direct rather than remote.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active causal relationship between the use of the property in question and agricultural production. The fewer intervening causes between the use of the property and the production of the product, the more likely it is that the property is directly used in agricultural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fact that particular machinery or equipment is essential to the production of agricultural products because its use is required either by law or practical necessity does not, of itself, mean that the machinery or equipment is directly used in the production of agricultural products. Machinery or equipment that comes into actual physical contact with the soil or crops during the operations of planting, cultivating, harvesting, and soil preparation will be presumed to be machinery or equipment used in agricultural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Primarily used in agricultural production. </w:t>
      </w:r>
      <w:r>
        <w:rPr>
          <w:rFonts w:ascii="Times New Roman" w:hAnsi="Times New Roman"/>
          <w:b w:val="false"/>
          <w:i w:val="false"/>
          <w:color w:val="000000"/>
          <w:sz w:val="22"/>
        </w:rPr>
        <w:t>Property is “primarily used” in agricultural production based on the total time it is used in agricultural production in comparison to the time it is used for other purposes. Any property used in agricultural production more than 50 percent of its total use time is eligible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Beginning and end of agricultural production. </w:t>
      </w:r>
      <w:r>
        <w:rPr>
          <w:rFonts w:ascii="Times New Roman" w:hAnsi="Times New Roman"/>
          <w:b w:val="false"/>
          <w:i w:val="false"/>
          <w:color w:val="000000"/>
          <w:sz w:val="22"/>
        </w:rPr>
        <w:t>Agricultural production begins with the cultivation of land previously cleared for the planting of crops or begins with the purchase or breeding of livestock or domesticated fowl. Agricultural production ceases when an agricultural product has been transported to the point where it will be sold by the producer or processed for further use.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Brown uses a tractor and wagon to haul harvested corn from a field to a grain dryer located on the farm. After the corn is dried, the same tractor and wagon are used to move the grain to a storage bin, also located on the farm. Later, the same tractor and wagon are used to deliver the corn from the farm to the local elevator where the corn is sold. After Farmer Brown deposits the corn there, the local elevator uses its own tractor and wagon to move the corn to a place of relatively permanent storage. Farmer Brown has used the tractor and wagon in the production of agricultural products, and the exemption would apply to Farmer Brown’s tractor and wagon. However, the elevator has not used its tractor and wagon in agricultural production; thus, the exemption would not be allowed for the elevator’s tractor and wagon.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Grain dryer. </w:t>
      </w:r>
      <w:r>
        <w:rPr>
          <w:rFonts w:ascii="Times New Roman" w:hAnsi="Times New Roman"/>
          <w:b w:val="false"/>
          <w:i w:val="false"/>
          <w:color w:val="000000"/>
          <w:sz w:val="22"/>
        </w:rPr>
        <w:t>The term “grain dryer” includes the heater and the blower necessary to force the warmed air into a grain storage bin. The term “grain dryer” does not include equipment, such as augers and spreaders, used in grain storage or movement, nor does it include any other equipment, such as specialized flooring, that is not a grain dryer. Equipment that is not a grain dryer but is used in grain drying may be exempt if the equipment is a self-propelled implement or customarily drawn or attached to a self-propelled implement and is directly and primarily used in agricultural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 “replacement parts” means any farm machinery or equipment that is substituted for another part that has broken, worn out or has become obsolete or otherwise unable to perform its intended function. Replacement parts are those parts that materially add to the value of farm machinery or equipment, appreciably prolong its life or keep it in its ordinarily efficient operating condition. Excluded from the meaning of the term “replacement parts” are supplies and computer software. Sales of supplies and computer software are taxable. Nonexclusive examples of supplies include lubricants, oils, greases, and coolants.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Tangible personal property that has an expected useful life of 12 months or more and is used in the operation of farm machinery or equipment is rebuttably presumed to be a replacement part. Tangible personal property that is used in the same manner but has an expected useful life of less than 12 months is rebuttably presumed to be a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sale or lease of a replacement part is exempt from tax if the replacement part is used in any repair or reconstruction of the exempt piece of farm machinery or equipment used in the production of agricultural products. Nonexclusive examples of replacement parts to machinery and equipment that would be exempt include air-conditioning parts, computer equipment parts, fire equipment parts, glass parts, mirrors, headlights, communication systems, and global positioning equipment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Implement of husbandry.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 “implement of husbandry” means any tool, equipment, or machinery necessary to the carrying on of the business of agricultural production and without which that could not be done. To be an implement of husbandry, the following must both be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tool, equipment, or machine must be necessary to the carrying on of the business of agricultural production;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Agricultural production must be impossible without the use of the tool, equipment, or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given item is an implement of husbandry depends on the facts of each particular case, and in each particular case the person claiming the exemption has the burden of proving that the person is entitled to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Snow blower. </w:t>
      </w:r>
      <w:r>
        <w:rPr>
          <w:rFonts w:ascii="Times New Roman" w:hAnsi="Times New Roman"/>
          <w:b w:val="false"/>
          <w:i w:val="false"/>
          <w:color w:val="000000"/>
          <w:sz w:val="22"/>
        </w:rPr>
        <w:t>“Snow blower” as used in this rule means an attachment that has the primary purpose of snow removal by the throwing of snow and that is ordinarily thought of as a snow blower.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Rear-mounted or front-mounted blade. </w:t>
      </w:r>
      <w:r>
        <w:rPr>
          <w:rFonts w:ascii="Times New Roman" w:hAnsi="Times New Roman"/>
          <w:b w:val="false"/>
          <w:i w:val="false"/>
          <w:color w:val="000000"/>
          <w:sz w:val="22"/>
        </w:rPr>
        <w:t>“Rear-mounted or front-mounted blade” as used in this rule means a stationary attachment that has a primary purpose of pushing or leveling, for example, sand, dirt, snow, gravel, or manure. The term “rear-mounted or front-mounted blade” does not include mounted buckets or loaders that have a primary purpose of loading or digging.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Rotary cutter. </w:t>
      </w:r>
      <w:r>
        <w:rPr>
          <w:rFonts w:ascii="Times New Roman" w:hAnsi="Times New Roman"/>
          <w:b w:val="false"/>
          <w:i w:val="false"/>
          <w:color w:val="000000"/>
          <w:sz w:val="22"/>
        </w:rPr>
        <w:t>“Rotary cutter” as used in this rule means an attachment used for mowing of grassy areas, pastures, and brush, but does not include attachments often referred to as “finishing mowers” and “mid-mount mowers.”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214.1(4)</w:t>
      </w:r>
      <w:r>
        <w:rPr>
          <w:rFonts w:ascii="Times New Roman" w:hAnsi="Times New Roman"/>
          <w:b w:val="false"/>
          <w:i w:val="false"/>
          <w:color w:val="000000"/>
          <w:sz w:val="22"/>
        </w:rPr>
        <w:t> </w:t>
      </w:r>
      <w:r>
        <w:rPr>
          <w:rFonts w:ascii="Times New Roman" w:hAnsi="Times New Roman"/>
          <w:b w:val="false"/>
          <w:i/>
          <w:color w:val="000000"/>
          <w:sz w:val="22"/>
        </w:rPr>
        <w:t xml:space="preserve">Taxable and nontaxable transactions. </w:t>
      </w:r>
      <w:r>
        <w:rPr>
          <w:rFonts w:ascii="Times New Roman" w:hAnsi="Times New Roman"/>
          <w:b w:val="false"/>
          <w:i w:val="false"/>
          <w:color w:val="000000"/>
          <w:sz w:val="22"/>
        </w:rPr>
        <w:t>The following are nonexclusive examples of sales and leases of and services for farm machinery or equipment subject to or exempt from tax. Taxable services performed on farm machinery or equipment are subject to tax even when the replacement parts are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lessor’s purchase of farm machinery or equipment is not subject to tax if the machinery or equipment is leased to a lessee who uses it directly and primarily in the production of agricultural products and if the lessee’s use of the machinery or equipment is otherwise exempt. To claim exemption from tax, the lessor does not need to make an exempt use of the machinery or equipment as long as the lessee uses the machinery or equipment for an exempt purpose. The lease of tangible personal property is treated as the sale of that property for the purposes of Iowa sales and use tax law because leases of tangible personal property are taxable retail sales of that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lessor’s purchase of a snow blower, rear-mounted or front-mounted blade, or rotary cutter is not subject to tax if such item is leased to a lessee who uses the item in agricultural production and the item will be attached to an implement of husbandry.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lessee of farm machinery or equipment need not be a farmer as long as the machinery or equipment is directly and primarily used in the production of agricultural products and the owner or lessee and the machinery or equipment meet the other requirements of this rule. For example, a person who purchases an airplane designed for use in agricultural aerial spraying and who uses the airplane directly and primarily for agricultural production is entitled to the benefits provided under this rule even though that person is not the owner or occupant of the land where the airplane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lessee of a snow blower, rear-mounted or front-mounted blade, or rotary cutter need not be a farmer as long as the snow blower, rear-mounted or front-mounted blade, or rotary cutter is used in agricultural production and the snow blower, rear-mounted or front-mounted blade, or rotary cutter is attached to an implement of husbandry.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sale or lease, within Iowa, of any farm machinery, equipment, or replacement part for direct and primary use in agricultural production outside of Iowa is a transaction eligible for the exemption if the transaction is otherwise qualified for an exemption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sale or lease, within Iowa, of any snow blower, rear-mounted or front-mounted blade, or rotary cutter that is used, outside of Iowa, in agricultural production while attached to an implement of husbandry is a transaction eligible for the exemption, if the transaction is otherwise qualified for an exemption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214.1(5)</w:t>
      </w:r>
      <w:r>
        <w:rPr>
          <w:rFonts w:ascii="Times New Roman" w:hAnsi="Times New Roman"/>
          <w:b w:val="false"/>
          <w:i w:val="false"/>
          <w:color w:val="000000"/>
          <w:sz w:val="22"/>
        </w:rPr>
        <w:t> </w:t>
      </w:r>
      <w:r>
        <w:rPr>
          <w:rFonts w:ascii="Times New Roman" w:hAnsi="Times New Roman"/>
          <w:b w:val="false"/>
          <w:i/>
          <w:color w:val="000000"/>
          <w:sz w:val="22"/>
        </w:rPr>
        <w:t xml:space="preserve">Auxiliary attachments. </w:t>
      </w:r>
      <w:r>
        <w:rPr>
          <w:rFonts w:ascii="Times New Roman" w:hAnsi="Times New Roman"/>
          <w:b w:val="false"/>
          <w:i w:val="false"/>
          <w:color w:val="000000"/>
          <w:sz w:val="22"/>
        </w:rPr>
        <w:t>The following is a nonexclusive list of auxiliary attachments for which the sale or use in Iowa is exempt from tax: auxiliary hydraulic valves, cabs, coil tine harrows, corn head pickup reels, dry till shanks, dual tires, extension shanks, fenders, fertilizer attachments and openers, fold kits, grain bin extensions, herbicide and insecticide attachments, kit wraps, no-till coulters, quick couplers, rear-wheel assists, rock boxes, rollover protection systems, rotary shields, stalk choppers, step extensions, trash whips, upper beaters, silage bags, and weights.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423.3(8)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701—214.2</w:t>
      </w:r>
      <w:r>
        <w:rPr>
          <w:rFonts w:ascii="Times New Roman" w:hAnsi="Times New Roman"/>
          <w:b/>
          <w:i w:val="false"/>
          <w:color w:val="000000"/>
          <w:sz w:val="22"/>
        </w:rPr>
        <w:t xml:space="preserve">(423) </w:t>
      </w:r>
      <w:r>
        <w:rPr>
          <w:rFonts w:ascii="Times New Roman" w:hAnsi="Times New Roman"/>
          <w:b/>
          <w:i w:val="false"/>
          <w:color w:val="000000"/>
          <w:sz w:val="22"/>
        </w:rPr>
        <w:t xml:space="preserve">Farm implement repair of all kinds.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repairing, restoring, or renovating implements, tools, machines, vehicles, or equipment used in the operation of farms, ranches, or acreages on which crops of all kinds are grown and on which livestock, poultry, or furbearing animals are raised or used for any purpose are selling a service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214.2(2)</w:t>
      </w:r>
      <w:r>
        <w:rPr>
          <w:rFonts w:ascii="Times New Roman" w:hAnsi="Times New Roman"/>
          <w:b w:val="false"/>
          <w:i w:val="false"/>
          <w:color w:val="000000"/>
          <w:sz w:val="22"/>
        </w:rPr>
        <w:t> </w:t>
      </w:r>
      <w:r>
        <w:rPr>
          <w:rFonts w:ascii="Times New Roman" w:hAnsi="Times New Roman"/>
          <w:b w:val="false"/>
          <w:i/>
          <w:color w:val="000000"/>
          <w:sz w:val="22"/>
        </w:rPr>
        <w:t xml:space="preserve">Installation not taxable. </w:t>
      </w:r>
      <w:r>
        <w:rPr>
          <w:rFonts w:ascii="Times New Roman" w:hAnsi="Times New Roman"/>
          <w:b w:val="false"/>
          <w:i w:val="false"/>
          <w:color w:val="000000"/>
          <w:sz w:val="22"/>
        </w:rPr>
        <w:t>Those services relating to the installation of new parts or accessories that are not replacements are not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423.2(6)</w:t>
        </w:r>
      </w:hyperlink>
      <w:r>
        <w:rPr>
          <w:rFonts w:ascii="Times New Roman" w:hAnsi="Times New Roman"/>
          <w:b w:val="false"/>
          <w:i/>
          <w:color w:val="000000"/>
          <w:sz w:val="22"/>
        </w:rPr>
        <w:t>“r.”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701—214.3</w:t>
      </w:r>
      <w:r>
        <w:rPr>
          <w:rFonts w:ascii="Times New Roman" w:hAnsi="Times New Roman"/>
          <w:b/>
          <w:i w:val="false"/>
          <w:color w:val="000000"/>
          <w:sz w:val="22"/>
        </w:rPr>
        <w:t xml:space="preserve">(423) </w:t>
      </w:r>
      <w:r>
        <w:rPr>
          <w:rFonts w:ascii="Times New Roman" w:hAnsi="Times New Roman"/>
          <w:b/>
          <w:i w:val="false"/>
          <w:color w:val="000000"/>
          <w:sz w:val="22"/>
        </w:rPr>
        <w:t xml:space="preserve">Irrigation equipment used in agricultural production. </w:t>
      </w:r>
      <w:r>
        <w:rPr>
          <w:rFonts w:ascii="Times New Roman" w:hAnsi="Times New Roman"/>
          <w:b w:val="false"/>
          <w:i w:val="false"/>
          <w:color w:val="000000"/>
          <w:sz w:val="22"/>
        </w:rPr>
        <w:t xml:space="preserve">The sales price from the sale or rental of irrigation equipment used in agricultural production is exempt from tax. The term “irrigation equipment” includes but is not limited to circle irrigation systems and trickle irrigation systems, whether installed aboveground or belowground, as long as the equipment is sold to or rented by a contractor or farmer and the equipment is directly and primarily used in agricultural production. The term “agricultural production” is defined in rule </w:t>
      </w:r>
      <w:hyperlink r:id="rId12">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423.3(12)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423.3(13)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701—214.4</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a draft horse. </w:t>
      </w:r>
      <w:r>
        <w:rPr>
          <w:rFonts w:ascii="Times New Roman" w:hAnsi="Times New Roman"/>
          <w:b w:val="false"/>
          <w:i w:val="false"/>
          <w:color w:val="000000"/>
          <w:sz w:val="22"/>
        </w:rPr>
        <w:t>The sales price from the sale of draft horses, when they are purchased for use and used as draft horses, is not subject to tax. Draft horses are horses that pull loads, including loads in shows, or transport persons or property. For purposes of this rule, horses commonly known as Clydesdales, Belgians, Shires, and Percherons are draft horses. However, upon proper showing by the person or entity claiming exemption, the sales price exemption will be granted by the director for other breeds. However, the burden of proof lies with the person or entity claiming exemption.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423.3(14)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701—214.5</w:t>
      </w:r>
      <w:r>
        <w:rPr>
          <w:rFonts w:ascii="Times New Roman" w:hAnsi="Times New Roman"/>
          <w:b/>
          <w:i w:val="false"/>
          <w:color w:val="000000"/>
          <w:sz w:val="22"/>
        </w:rPr>
        <w:t xml:space="preserve">(423) </w:t>
      </w:r>
      <w:r>
        <w:rPr>
          <w:rFonts w:ascii="Times New Roman" w:hAnsi="Times New Roman"/>
          <w:b/>
          <w:i w:val="false"/>
          <w:color w:val="000000"/>
          <w:sz w:val="22"/>
        </w:rPr>
        <w:t xml:space="preserve">Veterinary services. </w:t>
      </w:r>
      <w:r>
        <w:rPr>
          <w:rFonts w:ascii="Times New Roman" w:hAnsi="Times New Roman"/>
          <w:b w:val="false"/>
          <w:i w:val="false"/>
          <w:color w:val="000000"/>
          <w:sz w:val="22"/>
        </w:rPr>
        <w:t xml:space="preserve">Veterinary services are not subject to sales tax. Purchases of food, drugs, medicines, bandages, dressings, serums, tonics, and the like that are used in treating livestock raised as part of agricultural production are exempt from tax. Where these same items are used in treating animals maintained as pets or for hobby purposes, sales tax is due. Purchases of equipment and tools used in the veterinary practice are subject to tax. Rule </w:t>
      </w:r>
      <w:hyperlink r:id="rId16">
        <w:r>
          <w:rPr>
            <w:rStyle w:val="Hyperlink"/>
            <w:rFonts w:ascii="Times New Roman" w:hAnsi="Times New Roman"/>
            <w:b w:val="false"/>
            <w:i w:val="false"/>
            <w:color w:val="000000"/>
            <w:sz w:val="22"/>
          </w:rPr>
          <w:t>701—214.17</w:t>
        </w:r>
      </w:hyperlink>
      <w:r>
        <w:rPr>
          <w:rFonts w:ascii="Times New Roman" w:hAnsi="Times New Roman"/>
          <w:b w:val="false"/>
          <w:i w:val="false"/>
          <w:color w:val="000000"/>
          <w:sz w:val="22"/>
        </w:rPr>
        <w:t>(423) explains the exemption for machinery or equipment used in livestock or dairy production that may be applicable to veterinarians, but should only be claimed with caution. A veterinarian must charge sales tax on any sales of tangible property or enumerated services, such as pet grooming, that are not part of professional veterinarian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701—214.6</w:t>
      </w:r>
      <w:r>
        <w:rPr>
          <w:rFonts w:ascii="Times New Roman" w:hAnsi="Times New Roman"/>
          <w:b/>
          <w:i w:val="false"/>
          <w:color w:val="000000"/>
          <w:sz w:val="22"/>
        </w:rPr>
        <w:t xml:space="preserve">(423) </w:t>
      </w:r>
      <w:r>
        <w:rPr>
          <w:rFonts w:ascii="Times New Roman" w:hAnsi="Times New Roman"/>
          <w:b/>
          <w:i w:val="false"/>
          <w:color w:val="000000"/>
          <w:sz w:val="22"/>
        </w:rPr>
        <w:t xml:space="preserve">Commercial fertilizer and agricultural limestone.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214.6(1)</w:t>
      </w:r>
      <w:r>
        <w:rPr>
          <w:rFonts w:ascii="Times New Roman" w:hAnsi="Times New Roman"/>
          <w:b w:val="false"/>
          <w:i w:val="false"/>
          <w:color w:val="000000"/>
          <w:sz w:val="22"/>
        </w:rPr>
        <w:t> </w:t>
      </w:r>
      <w:r>
        <w:rPr>
          <w:rFonts w:ascii="Times New Roman" w:hAnsi="Times New Roman"/>
          <w:b w:val="false"/>
          <w:i/>
          <w:color w:val="000000"/>
          <w:sz w:val="22"/>
        </w:rPr>
        <w:t xml:space="preserve">Commercial fertilizer. </w:t>
      </w:r>
      <w:r>
        <w:rPr>
          <w:rFonts w:ascii="Times New Roman" w:hAnsi="Times New Roman"/>
          <w:b w:val="false"/>
          <w:i w:val="false"/>
          <w:color w:val="000000"/>
          <w:sz w:val="22"/>
        </w:rPr>
        <w:t>The sales price from the sales of commercial fertilizer is exempt from sales and use tax. Plant hormones are considered to be commercial fertilizer.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214.6(2)</w:t>
      </w:r>
      <w:r>
        <w:rPr>
          <w:rFonts w:ascii="Times New Roman" w:hAnsi="Times New Roman"/>
          <w:b w:val="false"/>
          <w:i w:val="false"/>
          <w:color w:val="000000"/>
          <w:sz w:val="22"/>
        </w:rPr>
        <w:t> </w:t>
      </w:r>
      <w:r>
        <w:rPr>
          <w:rFonts w:ascii="Times New Roman" w:hAnsi="Times New Roman"/>
          <w:b w:val="false"/>
          <w:i/>
          <w:color w:val="000000"/>
          <w:sz w:val="22"/>
        </w:rPr>
        <w:t xml:space="preserve">Agricultural limestone. </w:t>
      </w:r>
      <w:r>
        <w:rPr>
          <w:rFonts w:ascii="Times New Roman" w:hAnsi="Times New Roman"/>
          <w:b w:val="false"/>
          <w:i w:val="false"/>
          <w:color w:val="000000"/>
          <w:sz w:val="22"/>
        </w:rPr>
        <w:t xml:space="preserve">The sales price from the sales of agricultural limestone is exempt from sales and use tax only if the purchaser intends to use the limestone for disease control, weed control, insect control, or health promotion of plants or livestock produced for market as part of agricultural production. Rule </w:t>
      </w:r>
      <w:hyperlink r:id="rId18">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contains definitions of “agricultural production” and “plants.” Sales of agricultural limestone used for other purposes are subject to sales tax. Examples of taxable sales include but are not limited to sales of agricultural limestone for application on a lawn, golf course, or cemetery.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423.3(4)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701—214.7</w:t>
      </w:r>
      <w:r>
        <w:rPr>
          <w:rFonts w:ascii="Times New Roman" w:hAnsi="Times New Roman"/>
          <w:b/>
          <w:i w:val="false"/>
          <w:color w:val="000000"/>
          <w:sz w:val="22"/>
        </w:rPr>
        <w:t xml:space="preserve">(423) </w:t>
      </w:r>
      <w:r>
        <w:rPr>
          <w:rFonts w:ascii="Times New Roman" w:hAnsi="Times New Roman"/>
          <w:b/>
          <w:i w:val="false"/>
          <w:color w:val="000000"/>
          <w:sz w:val="22"/>
        </w:rPr>
        <w:t xml:space="preserve">Breeding livestock. </w:t>
      </w:r>
      <w:r>
        <w:rPr>
          <w:rFonts w:ascii="Times New Roman" w:hAnsi="Times New Roman"/>
          <w:b w:val="false"/>
          <w:i w:val="false"/>
          <w:color w:val="000000"/>
          <w:sz w:val="22"/>
        </w:rPr>
        <w:t xml:space="preserve">The sales price from the sale of agricultural livestock is exempt from tax only if at the time of purchase the purchaser intends to use the livestock primarily for breeding. The sales price from the sale of agricultural livestock that is capable of breeding, but will not be used for breeding or primarily for breeding, is not exempt from tax. However, the sales price from the sale of most nonbreeding agricultural livestock to farmers would be a sale for resale and exempt from tax. Rule </w:t>
      </w:r>
      <w:hyperlink r:id="rId21">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contains a definition of “livestock.”</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breeding service purchases a prize bull from a farmer. At the time of sale, the intent of the purchaser is to use the bull for breeding other cattle. The sale of the bull is exempt from tax even though three years later the breeding service sells the bull to a meat packer.</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farmer purchases dairy cows. To ensure production of milk over a sustained period of time, dairy cows must be bred to produce calves. If a farmer purchases dairy cows for the primary purpose of using them to produce milk and incidentally breeds them to ensure that this milk will be produced, the sale of the dairy cows to the farmer is not exempt from tax. If the farmer purchases the dairy cows for the primary purpose of using them to produce calves and, incidental to that purpose, at times sells the milk that the cows produce, the sale of the dairy cows to the farmer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701—214.8</w:t>
      </w:r>
      <w:r>
        <w:rPr>
          <w:rFonts w:ascii="Times New Roman" w:hAnsi="Times New Roman"/>
          <w:b/>
          <w:i w:val="false"/>
          <w:color w:val="000000"/>
          <w:sz w:val="22"/>
        </w:rPr>
        <w:t xml:space="preserve">(423) </w:t>
      </w:r>
      <w:r>
        <w:rPr>
          <w:rFonts w:ascii="Times New Roman" w:hAnsi="Times New Roman"/>
          <w:b/>
          <w:i w:val="false"/>
          <w:color w:val="000000"/>
          <w:sz w:val="22"/>
        </w:rPr>
        <w:t xml:space="preserve">Domesticated fowl. </w:t>
      </w:r>
      <w:r>
        <w:rPr>
          <w:rFonts w:ascii="Times New Roman" w:hAnsi="Times New Roman"/>
          <w:b w:val="false"/>
          <w:i w:val="false"/>
          <w:color w:val="000000"/>
          <w:sz w:val="22"/>
        </w:rPr>
        <w:t xml:space="preserve">The sales price from the sale of domesticated fowl for the purpose of providing eggs or meat is exempt from tax, whether purchased by a person engaged in agricultural production or not. Rule </w:t>
      </w:r>
      <w:hyperlink r:id="rId23">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contains a definition of the term “domesticated fowl.”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701—214.9</w:t>
      </w:r>
      <w:r>
        <w:rPr>
          <w:rFonts w:ascii="Times New Roman" w:hAnsi="Times New Roman"/>
          <w:b/>
          <w:i w:val="false"/>
          <w:color w:val="000000"/>
          <w:sz w:val="22"/>
        </w:rPr>
        <w:t xml:space="preserve">(423) </w:t>
      </w:r>
      <w:r>
        <w:rPr>
          <w:rFonts w:ascii="Times New Roman" w:hAnsi="Times New Roman"/>
          <w:b/>
          <w:i w:val="false"/>
          <w:color w:val="000000"/>
          <w:sz w:val="22"/>
        </w:rPr>
        <w:t xml:space="preserve">Agricultural health promotion items.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“Adjuvant” </w:t>
      </w:r>
      <w:r>
        <w:rPr>
          <w:rFonts w:ascii="Times New Roman" w:hAnsi="Times New Roman"/>
          <w:b w:val="false"/>
          <w:i w:val="false"/>
          <w:color w:val="000000"/>
          <w:sz w:val="22"/>
        </w:rPr>
        <w:t>means any substance that is added to an herbicide, a pesticide, or an insecticide to increase its potency.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production” </w:t>
      </w:r>
      <w:r>
        <w:rPr>
          <w:rFonts w:ascii="Times New Roman" w:hAnsi="Times New Roman"/>
          <w:b w:val="false"/>
          <w:i w:val="false"/>
          <w:color w:val="000000"/>
          <w:sz w:val="22"/>
        </w:rPr>
        <w:t xml:space="preserve">means the same as defined in rule </w:t>
      </w:r>
      <w:hyperlink r:id="rId25">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w:t>
      </w:r>
      <w:r>
        <w:rPr>
          <w:rFonts w:ascii="Times New Roman" w:hAnsi="Times New Roman"/>
          <w:b w:val="false"/>
          <w:i w:val="false"/>
          <w:color w:val="000000"/>
          <w:sz w:val="22"/>
        </w:rPr>
        <w:t>includes vitamins, minerals, other nutritional food supplements, and hormones sold to promote the growth of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“Herbicide” </w:t>
      </w:r>
      <w:r>
        <w:rPr>
          <w:rFonts w:ascii="Times New Roman" w:hAnsi="Times New Roman"/>
          <w:b w:val="false"/>
          <w:i w:val="false"/>
          <w:color w:val="000000"/>
          <w:sz w:val="22"/>
        </w:rPr>
        <w:t>means any substance intended to prevent, destroy, or retard the growth of plants including fungi. The term includes preemergence, postemergence, lay-by, pasture, defoliant, and desiccant herbicides and fungicides.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“Insecticide” </w:t>
      </w:r>
      <w:r>
        <w:rPr>
          <w:rFonts w:ascii="Times New Roman" w:hAnsi="Times New Roman"/>
          <w:b w:val="false"/>
          <w:i w:val="false"/>
          <w:color w:val="000000"/>
          <w:sz w:val="22"/>
        </w:rPr>
        <w:t>means any substance used to kill insects. Any substance used merely to repel insects is not an insecticide. Mechanical devices that are used to kill insects are not insecticides.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w:t>
      </w:r>
      <w:r>
        <w:rPr>
          <w:rFonts w:ascii="Times New Roman" w:hAnsi="Times New Roman"/>
          <w:b w:val="false"/>
          <w:i w:val="false"/>
          <w:color w:val="000000"/>
          <w:sz w:val="22"/>
        </w:rPr>
        <w:t xml:space="preserve">means the same as defined in rule </w:t>
      </w:r>
      <w:hyperlink r:id="rId26">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For the purposes of this rule, “livestock” includes domesticated fowl.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w:t>
      </w:r>
      <w:r>
        <w:rPr>
          <w:rFonts w:ascii="Times New Roman" w:hAnsi="Times New Roman"/>
          <w:b w:val="false"/>
          <w:i w:val="false"/>
          <w:color w:val="000000"/>
          <w:sz w:val="22"/>
        </w:rPr>
        <w:t>includes antibiotics or other similar drugs administered to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“Pesticide” </w:t>
      </w:r>
      <w:r>
        <w:rPr>
          <w:rFonts w:ascii="Times New Roman" w:hAnsi="Times New Roman"/>
          <w:b w:val="false"/>
          <w:i w:val="false"/>
          <w:color w:val="000000"/>
          <w:sz w:val="22"/>
        </w:rPr>
        <w:t>means any substance that is used to kill rodents or smaller vermin, other than insects, such as nematodes, spiders, or bacteria. For the purposes of this rule, a disinfectant is a pesticide. Excluded from the term “pesticide” is any substance that merely repels pests or any device, such as a rat trap, that kills pests by mechanical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“Plants” </w:t>
      </w:r>
      <w:r>
        <w:rPr>
          <w:rFonts w:ascii="Times New Roman" w:hAnsi="Times New Roman"/>
          <w:b w:val="false"/>
          <w:i w:val="false"/>
          <w:color w:val="000000"/>
          <w:sz w:val="22"/>
        </w:rPr>
        <w:t xml:space="preserve">means the same as defined in rule </w:t>
      </w:r>
      <w:hyperlink r:id="rId27">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“Surfactant” </w:t>
      </w:r>
      <w:r>
        <w:rPr>
          <w:rFonts w:ascii="Times New Roman" w:hAnsi="Times New Roman"/>
          <w:b w:val="false"/>
          <w:i w:val="false"/>
          <w:color w:val="000000"/>
          <w:sz w:val="22"/>
        </w:rPr>
        <w:t>means a substance that is active on a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214.9(2)</w:t>
      </w:r>
      <w:r>
        <w:rPr>
          <w:rFonts w:ascii="Times New Roman" w:hAnsi="Times New Roman"/>
          <w:b w:val="false"/>
          <w:i w:val="false"/>
          <w:color w:val="000000"/>
          <w:sz w:val="22"/>
        </w:rPr>
        <w:t> </w:t>
      </w:r>
      <w:r>
        <w:rPr>
          <w:rFonts w:ascii="Times New Roman" w:hAnsi="Times New Roman"/>
          <w:b w:val="false"/>
          <w:i/>
          <w:color w:val="000000"/>
          <w:sz w:val="22"/>
        </w:rPr>
        <w:t xml:space="preserve">Agricultural health promotion items and adjuvants. </w:t>
      </w:r>
      <w:r>
        <w:rPr>
          <w:rFonts w:ascii="Times New Roman" w:hAnsi="Times New Roman"/>
          <w:b w:val="false"/>
          <w:i w:val="false"/>
          <w:color w:val="000000"/>
          <w:sz w:val="22"/>
        </w:rPr>
        <w:t>The sales price from the sale of herbicides, pesticides, insecticides, food, and medication that are to be used in disease, weed, or insect control or health promotion of plants or livestock produced as part of agricultural production for market is exempt from tax. Sales of adjuvants, surfactants, and other products that enhance the effects of herbicides, pesticides, or insecticides used in disease, weed, or insect control or health promotion of plants or livestock produced as part of agricultural production for market are also exempt from tax. The sales price from the sale of herbicides, pesticides, insecticides, food, medication, and products to any person not engaged in agricultural production for market are exempt if the property sold will be used for an exempt purpose (e.g., in disease control or on the behalf of another person engaged in agricultural production for market).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423.3(16)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701—214.10</w:t>
      </w:r>
      <w:r>
        <w:rPr>
          <w:rFonts w:ascii="Times New Roman" w:hAnsi="Times New Roman"/>
          <w:b/>
          <w:i w:val="false"/>
          <w:color w:val="000000"/>
          <w:sz w:val="22"/>
        </w:rPr>
        <w:t xml:space="preserve">(423) </w:t>
      </w:r>
      <w:r>
        <w:rPr>
          <w:rFonts w:ascii="Times New Roman" w:hAnsi="Times New Roman"/>
          <w:b/>
          <w:i w:val="false"/>
          <w:color w:val="000000"/>
          <w:sz w:val="22"/>
        </w:rPr>
        <w:t xml:space="preserve">Drainage tile. </w:t>
      </w:r>
      <w:r>
        <w:rPr>
          <w:rFonts w:ascii="Times New Roman" w:hAnsi="Times New Roman"/>
          <w:b w:val="false"/>
          <w:i w:val="false"/>
          <w:color w:val="000000"/>
          <w:sz w:val="22"/>
        </w:rPr>
        <w:t xml:space="preserve">The sales price from the sale or installation of drainage tile that is to be used in disease control or weed control or in health promotion of plants or livestock produced as part of agricultural production for market is exempt from tax. In all other cases, drainage tile will be considered a building material and subject to tax under the provisions of Iowa Code section </w:t>
      </w:r>
      <w:hyperlink r:id="rId30">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Sales of the following materials associated with the installation of agricultural drainage tile are also exempt from tax: tile intakes, outlet pipes and outlet guards, aluminum and gabion structures, erosion control fabric, water control structures, and tile fittings.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701—214.11</w:t>
      </w:r>
      <w:r>
        <w:rPr>
          <w:rFonts w:ascii="Times New Roman" w:hAnsi="Times New Roman"/>
          <w:b/>
          <w:i w:val="false"/>
          <w:color w:val="000000"/>
          <w:sz w:val="22"/>
        </w:rPr>
        <w:t xml:space="preserve">(423) </w:t>
      </w:r>
      <w:r>
        <w:rPr>
          <w:rFonts w:ascii="Times New Roman" w:hAnsi="Times New Roman"/>
          <w:b/>
          <w:i w:val="false"/>
          <w:color w:val="000000"/>
          <w:sz w:val="22"/>
        </w:rPr>
        <w:t xml:space="preserve">Materials used for seed inoculations. </w:t>
      </w:r>
      <w:r>
        <w:rPr>
          <w:rFonts w:ascii="Times New Roman" w:hAnsi="Times New Roman"/>
          <w:b w:val="false"/>
          <w:i w:val="false"/>
          <w:color w:val="000000"/>
          <w:sz w:val="22"/>
        </w:rPr>
        <w:t>The sales price from the sale of materials used for seed inoculations is exempt from sales tax. All forms of inoculation, whether for promotion of better growth and healthier plants or for the prevention or cure of plant mildew or disease of seeds and bulbs, are intended for the same general purpose and are therefore exempt.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701—214.12</w:t>
      </w:r>
      <w:r>
        <w:rPr>
          <w:rFonts w:ascii="Times New Roman" w:hAnsi="Times New Roman"/>
          <w:b/>
          <w:i w:val="false"/>
          <w:color w:val="000000"/>
          <w:sz w:val="22"/>
        </w:rPr>
        <w:t xml:space="preserve">(423) </w:t>
      </w:r>
      <w:r>
        <w:rPr>
          <w:rFonts w:ascii="Times New Roman" w:hAnsi="Times New Roman"/>
          <w:b/>
          <w:i w:val="false"/>
          <w:color w:val="000000"/>
          <w:sz w:val="22"/>
        </w:rPr>
        <w:t xml:space="preserve">Fuel used in agricultural production.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“Aquaculture” </w:t>
      </w:r>
      <w:r>
        <w:rPr>
          <w:rFonts w:ascii="Times New Roman" w:hAnsi="Times New Roman"/>
          <w:b w:val="false"/>
          <w:i w:val="false"/>
          <w:color w:val="000000"/>
          <w:sz w:val="22"/>
        </w:rPr>
        <w:t xml:space="preserve">means the same as defined in rule </w:t>
      </w:r>
      <w:hyperlink r:id="rId33">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 </w:t>
      </w:r>
      <w:r>
        <w:rPr>
          <w:rFonts w:ascii="Times New Roman" w:hAnsi="Times New Roman"/>
          <w:b w:val="false"/>
          <w:i w:val="false"/>
          <w:color w:val="000000"/>
          <w:sz w:val="22"/>
        </w:rPr>
        <w:t>includes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“Implement of husbandry” </w:t>
      </w:r>
      <w:r>
        <w:rPr>
          <w:rFonts w:ascii="Times New Roman" w:hAnsi="Times New Roman"/>
          <w:b w:val="false"/>
          <w:i w:val="false"/>
          <w:color w:val="000000"/>
          <w:sz w:val="22"/>
        </w:rPr>
        <w:t xml:space="preserve">means the same as defined in paragraph </w:t>
      </w:r>
      <w:hyperlink r:id="rId34">
        <w:r>
          <w:rPr>
            <w:rStyle w:val="Hyperlink"/>
            <w:rFonts w:ascii="Times New Roman" w:hAnsi="Times New Roman"/>
            <w:b w:val="false"/>
            <w:i w:val="false"/>
            <w:color w:val="000000"/>
            <w:sz w:val="22"/>
          </w:rPr>
          <w:t>214.1(3)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w:t>
      </w:r>
      <w:r>
        <w:rPr>
          <w:rFonts w:ascii="Times New Roman" w:hAnsi="Times New Roman"/>
          <w:b w:val="false"/>
          <w:i w:val="false"/>
          <w:color w:val="000000"/>
          <w:sz w:val="22"/>
        </w:rPr>
        <w:t xml:space="preserve">means the same as defined in rule </w:t>
      </w:r>
      <w:hyperlink r:id="rId35">
        <w:r>
          <w:rPr>
            <w:rStyle w:val="Hyperlink"/>
            <w:rFonts w:ascii="Times New Roman" w:hAnsi="Times New Roman"/>
            <w:b w:val="false"/>
            <w:i w:val="false"/>
            <w:color w:val="000000"/>
            <w:sz w:val="22"/>
          </w:rPr>
          <w:t>701—200.1</w:t>
        </w:r>
      </w:hyperlink>
      <w:r>
        <w:rPr>
          <w:rFonts w:ascii="Times New Roman" w:hAnsi="Times New Roman"/>
          <w:b w:val="false"/>
          <w:i w:val="false"/>
          <w:color w:val="000000"/>
          <w:sz w:val="22"/>
        </w:rPr>
        <w:t>(423) and includes domesticated fowl.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Fuel used for livestock buildings. </w:t>
      </w:r>
      <w:r>
        <w:rPr>
          <w:rFonts w:ascii="Times New Roman" w:hAnsi="Times New Roman"/>
          <w:b w:val="false"/>
          <w:i w:val="false"/>
          <w:color w:val="000000"/>
          <w:sz w:val="22"/>
        </w:rPr>
        <w:t>The sale of fuel used to provide heating or cooling for livestock buildings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Fuel used for flowering, ornamental, or vegetable plant production 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from the sale of fuel for heating or cooling greenhouses, buildings, or parts of buildings used for the production of flowering, ornamental, or vegetable plants intended for sale in the ordinary course of business is exempt from tax. More information can be found in subparagraph </w:t>
      </w:r>
      <w:hyperlink r:id="rId36">
        <w:r>
          <w:rPr>
            <w:rStyle w:val="Hyperlink"/>
            <w:rFonts w:ascii="Times New Roman" w:hAnsi="Times New Roman"/>
            <w:b w:val="false"/>
            <w:i w:val="false"/>
            <w:color w:val="000000"/>
            <w:sz w:val="22"/>
          </w:rPr>
          <w:t>214.12(2)</w:t>
        </w:r>
      </w:hyperlink>
      <w:r>
        <w:rPr>
          <w:rFonts w:ascii="Times New Roman" w:hAnsi="Times New Roman"/>
          <w:b w:val="false"/>
          <w:i/>
          <w:color w:val="000000"/>
          <w:sz w:val="22"/>
        </w:rPr>
        <w:t>“b”</w:t>
      </w:r>
      <w:r>
        <w:rPr>
          <w:rFonts w:ascii="Times New Roman" w:hAnsi="Times New Roman"/>
          <w:b w:val="false"/>
          <w:i w:val="false"/>
          <w:color w:val="000000"/>
          <w:sz w:val="22"/>
        </w:rPr>
        <w:t>(3) for the formula for calculating exempt use if a building is only partially used for growing flowering, ornamental, or vegetable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Fuel used in a flowering, ornamental, or vegetable plant production building for purposes other than heating or cooling (e.g., lighting) or for purposes other than direct use in flowering, ornamental, or vegetable plant production (e.g., heating or cooling office space) is not eligible for this exemption. Examples of nonexempt purposes for which a portion of a greenhouse might be used include, but are not limited to, portions used for office space; loading docks; storage of property other than flowering, ornamental, or vegetable plants; housing of heating and cooling equipment; and packaging flowering, ornamental, or vegetable plants for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Calculating proportional exemption. It may be possible to calculate the amount of total fuel used in plant production by dividing the number of square feet of the greenhouse heated or cooled and used for raising flowering, ornamental, or vegetable plants by the number of square feet heated or cooled in the entire greenhouse. It may be necessary to alter this formula (by the use of separate metering, for example) if a greenhouse has a walk-in cooler and the cooler is used directly in flowering, ornamental, or vegetable plant production. Subrule </w:t>
      </w:r>
      <w:hyperlink r:id="rId37">
        <w:r>
          <w:rPr>
            <w:rStyle w:val="Hyperlink"/>
            <w:rFonts w:ascii="Times New Roman" w:hAnsi="Times New Roman"/>
            <w:b w:val="false"/>
            <w:i w:val="false"/>
            <w:color w:val="000000"/>
            <w:sz w:val="22"/>
          </w:rPr>
          <w:t>214.18(12)</w:t>
        </w:r>
      </w:hyperlink>
      <w:r>
        <w:rPr>
          <w:rFonts w:ascii="Times New Roman" w:hAnsi="Times New Roman"/>
          <w:b w:val="false"/>
          <w:i w:val="false"/>
          <w:color w:val="000000"/>
          <w:sz w:val="22"/>
        </w:rPr>
        <w:t xml:space="preserve"> provides information about a seller’s and purchaser’s liability for sales tax.</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Bill Brown’s herb farming operation has a separate greenhouse used to grow his herbs. All other aspects of his farm operations are conducted in other facilities. Because the greenhouse is used exclusively for raising flowering, ornamental, or vegetable plants, Bill Brown is able to claim exemption from sales tax on the cost of fuel used to heat and cool the greenhouse.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Martha Green’s greenhouse has a separate meter to track the electricity used only for heating or cooling. Her greenhouse is used partially for growing flowering, ornamental, or vegetable plants and partially for a nonexempt purpose. Martha Green is able to claim a proportional exemption from sales tax on the cost of fuel used to heat and cool her growing flowering, ornamental, or vegetable plants. Martha Green calculates her exempt amount by dividing the number of heated or cooled square feet of her greenhouse that are used for raising flowering, ornamental, or vegetable plants by the total number of square feet heated or cooled in the entire greenhouse.</w:t>
      </w:r>
    </w:p>
    <w:tbl>
      <w:tblPr>
        <w:tblW w:w="5000" w:type="pct"/>
        <w:tblCellSpacing w:w="0" w:type="auto"/>
        <w:tblBorders>
          <w:top w:val="none"/>
          <w:left w:val="none"/>
          <w:bottom w:val="none"/>
          <w:right w:val="none"/>
          <w:insideH w:val="none"/>
          <w:insideV w:val="none"/>
        </w:tblBorders>
        <w:tblLayout w:type="fixed"/>
      </w:tblPr>
      <w:tblGrid>
        <w:gridCol w:w="5906"/>
        <w:gridCol w:w="2258"/>
        <w:gridCol w:w="3026"/>
      </w:tblGrid>
      <w:tr>
        <w:trPr>
          <w:trHeight w:val="39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square footage used for raising flowering, ornamental, or vegetable plants</w:t>
            </w:r>
          </w:p>
        </w:tc>
        <w:tc>
          <w:tcPr>
            <w:tcW w:w="22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30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800</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square footage</w:t>
            </w:r>
          </w:p>
        </w:tc>
        <w:tc>
          <w:tcPr>
            <w:tcW w:w="22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30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r>
      <w:tr>
        <w:trPr>
          <w:trHeight w:val="210" w:hRule="atLeast"/>
        </w:trPr>
        <w:tc>
          <w:tcPr>
            <w:tcW w:w="590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TOTAL: </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800 ÷ 1,000</w:t>
            </w:r>
          </w:p>
        </w:tc>
        <w:tc>
          <w:tcPr>
            <w:tcW w:w="22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30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or 80%</w:t>
            </w:r>
          </w:p>
        </w:tc>
      </w:tr>
    </w:tbl>
    <w:p>
      <w:pPr>
        <w:spacing w:before="0" w:after="0"/>
        <w:ind w:left="120"/>
        <w:jc w:val="both"/>
      </w:pPr>
      <w:r>
        <w:rPr>
          <w:rFonts w:ascii="Times New Roman" w:hAnsi="Times New Roman"/>
          <w:b w:val="false"/>
          <w:i w:val="false"/>
          <w:color w:val="000000"/>
          <w:sz w:val="22"/>
        </w:rPr>
        <w:t>Thus, 80 percent of the cost of the fuel used to heat and cool Martha Green’s greenhouse is exempt from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Sales of fuel used for aquaculture. </w:t>
      </w:r>
      <w:r>
        <w:rPr>
          <w:rFonts w:ascii="Times New Roman" w:hAnsi="Times New Roman"/>
          <w:b w:val="false"/>
          <w:i w:val="false"/>
          <w:color w:val="000000"/>
          <w:sz w:val="22"/>
        </w:rPr>
        <w:t>Sales of fuel used in the raising of agricultural products by aquaculture are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Sales of fuel, gas, electricity, water, and heat consumed in implements of husbandry. </w:t>
      </w:r>
      <w:r>
        <w:rPr>
          <w:rFonts w:ascii="Times New Roman" w:hAnsi="Times New Roman"/>
          <w:b w:val="false"/>
          <w:i w:val="false"/>
          <w:color w:val="000000"/>
          <w:sz w:val="22"/>
        </w:rPr>
        <w:t>The sale of fuel used in any implement of husbandry, whether self-propelled or not, is exempt from tax if the fuel is consumed while the implement is engaged in agricultural production. For example, the sale of fuel used not only in tractors or combines, but also used in implements that cannot move under their own power, is exempt from tax. The sale of fuel used in milk coolers and milking machines, grain dryers, and stationary irrigation equipment and in implements used to handle feed, grain, and hay and to provide water for livestock is exempt from tax even though these implements of husbandry would not ordinarily be considered self-propelled.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214.12(3)</w:t>
      </w:r>
      <w:r>
        <w:rPr>
          <w:rFonts w:ascii="Times New Roman" w:hAnsi="Times New Roman"/>
          <w:b w:val="false"/>
          <w:i w:val="false"/>
          <w:color w:val="000000"/>
          <w:sz w:val="22"/>
        </w:rPr>
        <w:t> </w:t>
      </w:r>
      <w:r>
        <w:rPr>
          <w:rFonts w:ascii="Times New Roman" w:hAnsi="Times New Roman"/>
          <w:b w:val="false"/>
          <w:i/>
          <w:color w:val="000000"/>
          <w:sz w:val="22"/>
        </w:rPr>
        <w:t xml:space="preserve">Partial use. </w:t>
      </w:r>
      <w:r>
        <w:rPr>
          <w:rFonts w:ascii="Times New Roman" w:hAnsi="Times New Roman"/>
          <w:b w:val="false"/>
          <w:i w:val="false"/>
          <w:color w:val="000000"/>
          <w:sz w:val="22"/>
        </w:rPr>
        <w:t>If a building is used partially for an exempt agricultural purpose and partially for a nonexempt purpose, a proportional exemption from sales tax may be claimed based upon a percentage obtained by dividing the number of square feet of the building heated or cooled and used for an exempt agricultural purpose by the number of square feet heated or cooled in the entire building.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701—214.13</w:t>
      </w:r>
      <w:r>
        <w:rPr>
          <w:rFonts w:ascii="Times New Roman" w:hAnsi="Times New Roman"/>
          <w:b/>
          <w:i w:val="false"/>
          <w:color w:val="000000"/>
          <w:sz w:val="22"/>
        </w:rPr>
        <w:t xml:space="preserve">(423) </w:t>
      </w:r>
      <w:r>
        <w:rPr>
          <w:rFonts w:ascii="Times New Roman" w:hAnsi="Times New Roman"/>
          <w:b/>
          <w:i w:val="false"/>
          <w:color w:val="000000"/>
          <w:sz w:val="22"/>
        </w:rPr>
        <w:t xml:space="preserve">Water used in agricultural production. </w:t>
      </w:r>
      <w:r>
        <w:rPr>
          <w:rFonts w:ascii="Times New Roman" w:hAnsi="Times New Roman"/>
          <w:b w:val="false"/>
          <w:i w:val="false"/>
          <w:color w:val="000000"/>
          <w:sz w:val="22"/>
        </w:rPr>
        <w:t>The sales price from the sale of water sold to farmers who are purchasing water for household use, sanitation, swimming pools, or other personal use is subject to sales tax. The sales price from the sale of water sold to farmers and others and used directly as drinking water for livestock production (including the production of domesticated fowl) is exempt from sales tax. When water is used for exempt purposes, as in livestock production, as well as for taxable purposes, the water may, when practical, be separately metered and separately billed to clearly distinguish the water consumed for exempt purposes from taxable purposes. When it is impractical to separately meter exempt water from taxable water, the purchaser may furnish to the seller a statement enabling the seller to determine the percentage of water subject to exemption. In the absence of proof to the contrary, the retailer of the water bills and collects tax on the first 5,000 gallons of water per month. The first 5,000 gallons of water per month will be considered to be for nonexempt use, and the balance will be considered to be used as part of agricultural production.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423.3(5)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701—214.14</w:t>
      </w:r>
      <w:r>
        <w:rPr>
          <w:rFonts w:ascii="Times New Roman" w:hAnsi="Times New Roman"/>
          <w:b/>
          <w:i w:val="false"/>
          <w:color w:val="000000"/>
          <w:sz w:val="22"/>
        </w:rPr>
        <w:t xml:space="preserve">(423) </w:t>
      </w:r>
      <w:r>
        <w:rPr>
          <w:rFonts w:ascii="Times New Roman" w:hAnsi="Times New Roman"/>
          <w:b/>
          <w:i w:val="false"/>
          <w:color w:val="000000"/>
          <w:sz w:val="22"/>
        </w:rPr>
        <w:t xml:space="preserve">Hatcheries. </w:t>
      </w:r>
      <w:r>
        <w:rPr>
          <w:rFonts w:ascii="Times New Roman" w:hAnsi="Times New Roman"/>
          <w:b w:val="false"/>
          <w:i w:val="false"/>
          <w:color w:val="000000"/>
          <w:sz w:val="22"/>
        </w:rPr>
        <w:t xml:space="preserve">The sales price from the sale of egg-type cockerel chicks, broiler chicks, and turkey poults is subject to tax. If sale of domestic poultry is for breeding, rule </w:t>
      </w:r>
      <w:hyperlink r:id="rId40">
        <w:r>
          <w:rPr>
            <w:rStyle w:val="Hyperlink"/>
            <w:rFonts w:ascii="Times New Roman" w:hAnsi="Times New Roman"/>
            <w:b w:val="false"/>
            <w:i w:val="false"/>
            <w:color w:val="000000"/>
            <w:sz w:val="22"/>
          </w:rPr>
          <w:t>701—214.7</w:t>
        </w:r>
      </w:hyperlink>
      <w:r>
        <w:rPr>
          <w:rFonts w:ascii="Times New Roman" w:hAnsi="Times New Roman"/>
          <w:b w:val="false"/>
          <w:i w:val="false"/>
          <w:color w:val="000000"/>
          <w:sz w:val="22"/>
        </w:rPr>
        <w:t>(423) provides information.</w:t>
      </w:r>
    </w:p>
    <w:p>
      <w:pPr>
        <w:spacing w:before="0" w:after="0"/>
        <w:ind w:left="120"/>
        <w:jc w:val="both"/>
      </w:pPr>
      <w:r>
        <w:rPr>
          <w:rFonts w:ascii="Times New Roman" w:hAnsi="Times New Roman"/>
          <w:b w:val="false"/>
          <w:i w:val="false"/>
          <w:color w:val="000000"/>
          <w:sz w:val="22"/>
        </w:rPr>
        <w:t>When pullets and poults are sold for production purposes, the sales price from the sale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701—214.15</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by farmers. </w:t>
      </w:r>
      <w:r>
        <w:rPr>
          <w:rFonts w:ascii="Times New Roman" w:hAnsi="Times New Roman"/>
          <w:b w:val="false"/>
          <w:i w:val="false"/>
          <w:color w:val="000000"/>
          <w:sz w:val="22"/>
        </w:rPr>
        <w:t>The sales price from the sale of grain, livestock, or any other farm or garden product by the producer thereof ordinarily constitutes a sale for resale, processing, or human consumption and is exempt from tax. In order to sell tangible personal property not otherwise exempt to ultimate consumers or users, farmers shall hold a permit and collect and remit sales tax on the sales price from their sales.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423.3(2)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423.3(51)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701—214.16</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livestock (including domesticated fowl) feeds. </w:t>
      </w:r>
      <w:r>
        <w:rPr>
          <w:rFonts w:ascii="Times New Roman" w:hAnsi="Times New Roman"/>
          <w:b w:val="false"/>
          <w:i w:val="false"/>
          <w:color w:val="000000"/>
          <w:sz w:val="22"/>
        </w:rPr>
        <w:t>The sales price from the sale of feed for any form of animal life when the product of the animals constitutes food for human consumption is exempt from tax. The sales price from the sale of feed sold for consumption by pets is subject to tax. The sales price from the sale of antibiotics that are administered as an additive to feed or drinking water and vitamins and minerals that are sold for livestock (including domesticated fowl) is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423.3(16)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701—214.17</w:t>
      </w:r>
      <w:r>
        <w:rPr>
          <w:rFonts w:ascii="Times New Roman" w:hAnsi="Times New Roman"/>
          <w:b/>
          <w:i w:val="false"/>
          <w:color w:val="000000"/>
          <w:sz w:val="22"/>
        </w:rPr>
        <w:t xml:space="preserve">(423) </w:t>
      </w:r>
      <w:r>
        <w:rPr>
          <w:rFonts w:ascii="Times New Roman" w:hAnsi="Times New Roman"/>
          <w:b/>
          <w:i w:val="false"/>
          <w:color w:val="000000"/>
          <w:sz w:val="22"/>
        </w:rPr>
        <w:t xml:space="preserve">Farm machinery, equipment, and replacement parts used in livestock or dairy production.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214.17(1)</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farm machinery, equipment, and replacement parts used in livestock or dairy production is exempt from sales and use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214.17(2)</w:t>
      </w:r>
      <w:r>
        <w:rPr>
          <w:rFonts w:ascii="Times New Roman" w:hAnsi="Times New Roman"/>
          <w:b w:val="false"/>
          <w:i w:val="false"/>
          <w:color w:val="000000"/>
          <w:sz w:val="22"/>
        </w:rPr>
        <w:t> </w:t>
      </w:r>
      <w:r>
        <w:rPr>
          <w:rFonts w:ascii="Times New Roman" w:hAnsi="Times New Roman"/>
          <w:b w:val="false"/>
          <w:i w:val="false"/>
          <w:color w:val="000000"/>
          <w:sz w:val="22"/>
        </w:rPr>
        <w:t>Definitions and special provisions. For purposes of this rule, the following definitions and special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Machinery. </w:t>
      </w:r>
      <w:r>
        <w:rPr>
          <w:rFonts w:ascii="Times New Roman" w:hAnsi="Times New Roman"/>
          <w:b w:val="false"/>
          <w:i w:val="false"/>
          <w:color w:val="000000"/>
          <w:sz w:val="22"/>
        </w:rPr>
        <w:t>The term “machinery” means major mechanical machines, or major components thereof, that contribute directly and primarily to the livestock or dairy production process. Usually, a machine is a large object with moving parts that performs work through the expenditure of energy, either mechanical (e.g., gasoline or other fuel) or electrical.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The term “equipment” means tangible personal property (other than a machine) that is directly and primarily used in livestock or dairy production. Equipment may be characterized as property that performs a specialized function and that has no moving parts, or if the equipment does possess moving parts, its source of power is external to it. The following nonexclusive examples differentiate between machinery and equipment: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auger places feed into a cattle feeder. The auger is a piece of machinery; the cattle feeder is a piece of equipment.</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 electric pump is used to pump milk into a bulk milk tank. The electric pump is a piece of machinery; the bulk milk tank is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Property used in livestock or dairy production that is neither equipment nor machinery.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Real property. The ground or the earth is not machinery or equipment. A building is not machinery or equipment. Therefore, tangible personal property that is sold for incorporation into the ground or a building in such a manner that the property will become a part of the ground or the building is taxable except for machinery and equipment. Generally, property incorporated into the ground or a building has become a part of the ground or the building if its removal would substantially damage the property, ground, or building or would substantially diminish the value of the property, ground, or building. Fence posts embedded in concrete, electrical wiring, light fixtures, fuse boxes, and switches are examples of property sold for incorporation into the ground or a building, respectively. For the purpose of the following example, assume that property is being sold to a contractor rather than a person engaged in livestock or dairy production. If the property is sold to a contractor, the retailer would be required to consider the property building material and charge the contractor sales tax upon the purchase price of the building material. If the property is building material, sale of the property is not exempt from Iowa sales tax. Rule </w:t>
      </w:r>
      <w:hyperlink r:id="rId47">
        <w:r>
          <w:rPr>
            <w:rStyle w:val="Hyperlink"/>
            <w:rFonts w:ascii="Times New Roman" w:hAnsi="Times New Roman"/>
            <w:b w:val="false"/>
            <w:i w:val="false"/>
            <w:color w:val="000000"/>
            <w:sz w:val="22"/>
          </w:rPr>
          <w:t>701—219.3</w:t>
        </w:r>
      </w:hyperlink>
      <w:r>
        <w:rPr>
          <w:rFonts w:ascii="Times New Roman" w:hAnsi="Times New Roman"/>
          <w:b w:val="false"/>
          <w:i w:val="false"/>
          <w:color w:val="000000"/>
          <w:sz w:val="22"/>
        </w:rPr>
        <w:t>(423) contains a characterization of building material and a list of specific examples of building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Supplies. Supplies are neither machinery nor equipment. Tangible personal property is a farm supply if it is used up or destroyed by virtue of its use in livestock or dairy production or, because of its nature, can only be used once in livestock or dairy production. A light bulb is an example of a farm supply that is not machinery or equipment. Examples of farm supplies that could be mistaken for equipment and are not exempt from tax on other grounds can be found in </w:t>
      </w:r>
      <w:hyperlink r:id="rId48">
        <w:r>
          <w:rPr>
            <w:rStyle w:val="Hyperlink"/>
            <w:rFonts w:ascii="Times New Roman" w:hAnsi="Times New Roman"/>
            <w:b w:val="false"/>
            <w:i w:val="false"/>
            <w:color w:val="000000"/>
            <w:sz w:val="22"/>
          </w:rPr>
          <w:t>subrule 214.19(4)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Hand tools. </w:t>
      </w:r>
      <w:r>
        <w:rPr>
          <w:rFonts w:ascii="Times New Roman" w:hAnsi="Times New Roman"/>
          <w:b w:val="false"/>
          <w:i w:val="false"/>
          <w:color w:val="000000"/>
          <w:sz w:val="22"/>
        </w:rPr>
        <w:t>The term “hand tools” means tools that can be held in the hand or hands and that are powered by human effort. Hand tools specifically designed for use in livestock or dairy production are exempt from tax as equipment. Mechanical devices that are held in the hand and driven by electricity from some source other than human muscle power are, if they meet all other qualifications, exempt from tax as farm machinery.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“Directly used” in livestock or dairy production. </w:t>
      </w:r>
      <w:r>
        <w:rPr>
          <w:rFonts w:ascii="Times New Roman" w:hAnsi="Times New Roman"/>
          <w:b w:val="false"/>
          <w:i w:val="false"/>
          <w:color w:val="000000"/>
          <w:sz w:val="22"/>
        </w:rPr>
        <w:t xml:space="preserve">To determine if machinery or equipment is “directly used” in livestock or dairy production, one must first ensure that the machinery or equipment is used during livestock or dairy production and not before that process has begun or after it has ended. Paragraph </w:t>
      </w:r>
      <w:hyperlink r:id="rId49">
        <w:r>
          <w:rPr>
            <w:rStyle w:val="Hyperlink"/>
            <w:rFonts w:ascii="Times New Roman" w:hAnsi="Times New Roman"/>
            <w:b w:val="false"/>
            <w:i w:val="false"/>
            <w:color w:val="000000"/>
            <w:sz w:val="22"/>
          </w:rPr>
          <w:t>214.17(2)</w:t>
        </w:r>
        <w:r>
          <w:rPr>
            <w:rFonts w:ascii="Times New Roman" w:hAnsi="Times New Roman"/>
            <w:b w:val="false"/>
            <w:i/>
            <w:color w:val="000000"/>
            <w:sz w:val="22"/>
          </w:rPr>
          <w:t>“g”</w:t>
        </w:r>
      </w:hyperlink>
      <w:r>
        <w:rPr>
          <w:rFonts w:ascii="Times New Roman" w:hAnsi="Times New Roman"/>
          <w:b w:val="false"/>
          <w:i w:val="false"/>
          <w:color w:val="000000"/>
          <w:sz w:val="22"/>
        </w:rPr>
        <w:t xml:space="preserve"> contains an explanation of when livestock or dairy production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 If the machinery or equipment is used in livestock or dairy production, “directly used” means the use is an integral and essential part of production as distinguished from use that is incidental or merely convenient to production or use that is remote from production. Machinery or equipment may be necessary to livestock or dairy production, but its use is so remote from production that it is not directly used in that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In determining whether machinery or equipment is directly used, consideration should be given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physical proximity of the machinery or equipment to other machinery or equipment clearly exempt as directly used in livestock or dairy production. The closer the machinery or equipment is to exempt machinery or equipment, the more likely it is that the machinery or equipment is directly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chronological proximity of the use of machinery or equipment in question to the use of machinery clearly exempt as directly used in livestock or dairy production. The closer the proximity of the machinery’s or equipment’s use within the production process to the use of exempt machinery or equipment, the more likely the use is direct rather than remote.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active causal relationship between the use of the machinery or equipment in question and livestock or dairy production. The fewer intervening causes between the use of the machinery or equipment and the production of the product, the more likely it is that the machinery or equipment is directly used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“Primarily used” in livestock or dairy production. </w:t>
      </w:r>
      <w:r>
        <w:rPr>
          <w:rFonts w:ascii="Times New Roman" w:hAnsi="Times New Roman"/>
          <w:b w:val="false"/>
          <w:i w:val="false"/>
          <w:color w:val="000000"/>
          <w:sz w:val="22"/>
        </w:rPr>
        <w:t>Machinery or equipment is “primarily used” in livestock or dairy production based on the total time it is used in livestock or dairy production in comparison to the time it is used for other purposes. Any unit of machinery or equipment directly used in livestock or dairy production more than 50 percent of its total use time is eligible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Beginning and end of livestock or dairy production. </w:t>
      </w:r>
      <w:r>
        <w:rPr>
          <w:rFonts w:ascii="Times New Roman" w:hAnsi="Times New Roman"/>
          <w:b w:val="false"/>
          <w:i w:val="false"/>
          <w:color w:val="000000"/>
          <w:sz w:val="22"/>
        </w:rPr>
        <w:t>Livestock or dairy production begins with the purchase or breeding of livestock or dairy animals. Livestock or dairy production ceases when an animal or the product of an animal’s body (e.g., wool) has been transported to the point where it will be sold by the farmer or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design. </w:t>
      </w:r>
      <w:r>
        <w:rPr>
          <w:rFonts w:ascii="Times New Roman" w:hAnsi="Times New Roman"/>
          <w:b w:val="false"/>
          <w:i w:val="false"/>
          <w:color w:val="000000"/>
          <w:sz w:val="22"/>
        </w:rPr>
        <w:t>Farm machinery and equipment used in livestock or dairy production are eligible for exemption if specifically designed for use in livestock or dairy production. Farm machinery and equipment that are not specifically designed for use in livestock or dairy production, but are directly and primarily used in livestock or dairy production, are eligible for exemption with the exception of common or ordinary hand tools.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Farmer Jones raises livestock and must use fans to cool the animals. Farmer Jones buys electric fans designed for use in a residence, but uses them directly and primarily to cool the livestock. The fans’ use would be considered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The term “replacement parts” means the same as defined in paragraph </w:t>
      </w:r>
      <w:hyperlink r:id="rId50">
        <w:r>
          <w:rPr>
            <w:rStyle w:val="Hyperlink"/>
            <w:rFonts w:ascii="Times New Roman" w:hAnsi="Times New Roman"/>
            <w:b w:val="false"/>
            <w:i w:val="false"/>
            <w:color w:val="000000"/>
            <w:sz w:val="22"/>
          </w:rPr>
          <w:t>214.1(2)</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214.17(3)</w:t>
      </w:r>
      <w:r>
        <w:rPr>
          <w:rFonts w:ascii="Times New Roman" w:hAnsi="Times New Roman"/>
          <w:b w:val="false"/>
          <w:i w:val="false"/>
          <w:color w:val="000000"/>
          <w:sz w:val="22"/>
        </w:rPr>
        <w:t> </w:t>
      </w:r>
      <w:r>
        <w:rPr>
          <w:rFonts w:ascii="Times New Roman" w:hAnsi="Times New Roman"/>
          <w:b w:val="false"/>
          <w:i w:val="false"/>
          <w:color w:val="000000"/>
          <w:sz w:val="22"/>
        </w:rPr>
        <w:t>Examples of machinery and equipment directly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Machinery and equipment used to transport or limit the movement of livestock or dairy animals (e.g., electric fence equipment, portable fencing, head gates, and loading chutes) are directly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Machinery and equipment used in the conception, birth, feeding, and watering of livestock or dairy animals (e.g., artificial insemination equipment, portable farrowing pens, feed carts, and automatic watering equipment) are directly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Machinery and equipment used to maintain healthful or sanitary conditions in the immediate area where livestock are kept (e.g., manure gutter cleaners, automatic cattle oilers, fans, and heaters if not real property) are directly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Machinery and equipment used to test or inspect livestock during production are directly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214.17(4)</w:t>
      </w:r>
      <w:r>
        <w:rPr>
          <w:rFonts w:ascii="Times New Roman" w:hAnsi="Times New Roman"/>
          <w:b w:val="false"/>
          <w:i w:val="false"/>
          <w:color w:val="000000"/>
          <w:sz w:val="22"/>
        </w:rPr>
        <w:t> </w:t>
      </w:r>
      <w:r>
        <w:rPr>
          <w:rFonts w:ascii="Times New Roman" w:hAnsi="Times New Roman"/>
          <w:b w:val="false"/>
          <w:i w:val="false"/>
          <w:color w:val="000000"/>
          <w:sz w:val="22"/>
        </w:rPr>
        <w:t>Taxable examples. The following are nonexclusive examples of machinery or equipment that would not be directly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to assemble, maintain, or repair other machinery or equipment directly used in livestock or dairy production (e.g., welders, paint sprayers, and lubricators).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in farm management, administration, advertising, or selling (e.g., a computer used for record keeping, calculator, office safe, telephone, books, and farm magazines).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in the exhibit of livestock or dairy animals (e.g., blankets, halters, prods, leads, and harnesses).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in safety or fire prevention, even though the machinery or equipment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for employee or personal use. Machinery or equipment used for the personal comfort, convenience, or use by a farmer, the farmer’s family or employees, or persons associated with the farmer is not exempt from tax. Examples of such machinery and equipment include the following: beds, mattresses, blankets, tableware, stoves, refrigerators, and other equipment used in conjunction with the operation of a farm home or other facilities for farm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for heating, cooling, ventilation, and lighting of farm buildings generally.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Vehicles subject to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214.17(5)</w:t>
      </w:r>
      <w:r>
        <w:rPr>
          <w:rFonts w:ascii="Times New Roman" w:hAnsi="Times New Roman"/>
          <w:b w:val="false"/>
          <w:i w:val="false"/>
          <w:color w:val="000000"/>
          <w:sz w:val="22"/>
        </w:rPr>
        <w:t> </w:t>
      </w:r>
      <w:r>
        <w:rPr>
          <w:rFonts w:ascii="Times New Roman" w:hAnsi="Times New Roman"/>
          <w:b w:val="false"/>
          <w:i w:val="false"/>
          <w:color w:val="000000"/>
          <w:sz w:val="22"/>
        </w:rPr>
        <w:t>The sales price, not including services, of the following machinery or equipment is exempt from tax regardless of whether the machinery or equipment remains tangible personal property after installation or is incorporated into the realty: auxiliary attachments that improve the performance, safety, operation, or efficiency of the machinery and equipment, including auger systems, curtains and curtain systems, drip systems, fan and fan systems, shutters, inlets, shutter or inlet systems, refrigerators, and replacement parts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implement, machinery, or equipment is directly and primarily used in livestock or dairy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implement is not a self-propelled implement or implement customarily drawn or attached to self-propelled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replacement part is used in a repair or reconstruction of the exempt piece of farm machinery or equipment used in the production of agricultural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214.17(6)</w:t>
      </w:r>
      <w:r>
        <w:rPr>
          <w:rFonts w:ascii="Times New Roman" w:hAnsi="Times New Roman"/>
          <w:b w:val="false"/>
          <w:i w:val="false"/>
          <w:color w:val="000000"/>
          <w:sz w:val="22"/>
        </w:rPr>
        <w:t> </w:t>
      </w:r>
      <w:r>
        <w:rPr>
          <w:rFonts w:ascii="Times New Roman" w:hAnsi="Times New Roman"/>
          <w:b w:val="false"/>
          <w:i w:val="false"/>
          <w:color w:val="000000"/>
          <w:sz w:val="22"/>
        </w:rPr>
        <w:t>Auxiliary attachments exemption. Sales of auxiliary attachments that improve the performance, safety, operation, or efficiency of exempt machinery or equipment are exempt from tax. Sales of replacement parts for these auxiliary attachments are also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214.17(7)</w:t>
      </w:r>
      <w:r>
        <w:rPr>
          <w:rFonts w:ascii="Times New Roman" w:hAnsi="Times New Roman"/>
          <w:b w:val="false"/>
          <w:i w:val="false"/>
          <w:color w:val="000000"/>
          <w:sz w:val="22"/>
        </w:rPr>
        <w:t> </w:t>
      </w:r>
      <w:r>
        <w:rPr>
          <w:rFonts w:ascii="Times New Roman" w:hAnsi="Times New Roman"/>
          <w:b w:val="false"/>
          <w:i w:val="false"/>
          <w:color w:val="000000"/>
          <w:sz w:val="22"/>
        </w:rPr>
        <w:t>Seller’s and purchaser’s liability for sales tax. The seller is relieved of sales tax liability if the seller takes from the purchaser an exemption certificate stating that the purchase is of machinery and equipment meeting the requirements of this rule. The exemption certificate must be fully completed. If items purchased tax-free pursuant to an exemption certificate are used or disposed of by the purchaser in a nonexempt manner, the purchaser is solely and directly liable for sales tax and remits the tax to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423.3(15)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701—214.18</w:t>
      </w:r>
      <w:r>
        <w:rPr>
          <w:rFonts w:ascii="Times New Roman" w:hAnsi="Times New Roman"/>
          <w:b/>
          <w:i w:val="false"/>
          <w:color w:val="000000"/>
          <w:sz w:val="22"/>
        </w:rPr>
        <w:t xml:space="preserve">(423) </w:t>
      </w:r>
      <w:r>
        <w:rPr>
          <w:rFonts w:ascii="Times New Roman" w:hAnsi="Times New Roman"/>
          <w:b/>
          <w:i w:val="false"/>
          <w:color w:val="000000"/>
          <w:sz w:val="22"/>
        </w:rPr>
        <w:t xml:space="preserve">Machinery, equipment, and replacement parts used in the production of flowering, ornamental, and vegetable plants.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214.18(1)</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machinery, equipment, and replacement parts used in the production of flowering, ornamental, and vegetable plants is exempt from sales and use tax. The production of flowering, ornamental, or vegetable plants by a grower in a commercial greenhouse or at another location is considered to be a part of agricultural production and exempt from sales tax. The term “flowering, ornamental, or vegetable plants” does not include silvicultural products or fungi.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214.18(2)</w:t>
      </w:r>
      <w:r>
        <w:rPr>
          <w:rFonts w:ascii="Times New Roman" w:hAnsi="Times New Roman"/>
          <w:b w:val="false"/>
          <w:i w:val="false"/>
          <w:color w:val="000000"/>
          <w:sz w:val="22"/>
        </w:rPr>
        <w:t> </w:t>
      </w:r>
      <w:r>
        <w:rPr>
          <w:rFonts w:ascii="Times New Roman" w:hAnsi="Times New Roman"/>
          <w:b w:val="false"/>
          <w:i w:val="false"/>
          <w:color w:val="000000"/>
          <w:sz w:val="22"/>
        </w:rPr>
        <w:t>Definitions and special provisions. For purposes of this rule, the following definitions and special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Machinery. </w:t>
      </w:r>
      <w:r>
        <w:rPr>
          <w:rFonts w:ascii="Times New Roman" w:hAnsi="Times New Roman"/>
          <w:b w:val="false"/>
          <w:i w:val="false"/>
          <w:color w:val="000000"/>
          <w:sz w:val="22"/>
        </w:rPr>
        <w:t>The term “machinery” means major mechanical machines, or major components thereof, that contribute directly and primarily to the flowering, ornamental, or vegetable plant production process. Usually, a machine is a large object with moving parts that performs work through the expenditure of energy, either mechanical (e.g., gasoline or other fuel) or electrical.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The term “equipment” means tangible personal property (other than a machine) that is directly and primarily used in the flowering, ornamental, or vegetable plant production process. Equipment may be characterized as property that performs a specialized function that, of itself, has no moving parts, or if the equipment does possess moving parts, its source of power is external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Property used in the flowering, ornamental, or vegetable plant production process that is neither equipment nor machinery.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Real property. The ground or the earth is not machinery or equipment. A building is not machinery or equipment. Therefore, tangible personal property that is sold for incorporation into the ground or a building in such a manner that the property will become a part of the ground or the building is taxable except for machinery and equipment. Generally, property incorporated into the ground or a building has become a part of the ground or the building if its removal would substantially damage the property, ground, or building or would substantially diminish the value of the property, ground, or building. Fence posts embedded in concrete, electrical wiring, light fixtures, fuse boxes, and switches are examples of property sold for incorporation into the ground or a building, respectively. For the purpose of this example, assume that the property is being sold to a contractor rather than a person engaged in the flowering, ornamental, or vegetable plant production process. If the property is sold to a contractor, the retailer would be required to consider the property building material and charge the contractor sales tax upon the purchase price of this building material. If the property is building material, sale of the property is not exempt from Iowa sales tax. Rule </w:t>
      </w:r>
      <w:hyperlink r:id="rId53">
        <w:r>
          <w:rPr>
            <w:rStyle w:val="Hyperlink"/>
            <w:rFonts w:ascii="Times New Roman" w:hAnsi="Times New Roman"/>
            <w:b w:val="false"/>
            <w:i w:val="false"/>
            <w:color w:val="000000"/>
            <w:sz w:val="22"/>
          </w:rPr>
          <w:t>701—219.3</w:t>
        </w:r>
      </w:hyperlink>
      <w:r>
        <w:rPr>
          <w:rFonts w:ascii="Times New Roman" w:hAnsi="Times New Roman"/>
          <w:b w:val="false"/>
          <w:i w:val="false"/>
          <w:color w:val="000000"/>
          <w:sz w:val="22"/>
        </w:rPr>
        <w:t>(423) contains a characterization of building material and a list of specific examples of building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Supplies. Supplies are neither machinery nor equipment. Tangible personal property is a supply if it is used up or destroyed by virtue of its use in the flowering, ornamental, or vegetable plant production process or, because of its nature, can only be used once in the flowering, ornamental, or vegetable plant production process. A light bulb is an example of a supply that is not machinery or equipment. Subrule </w:t>
      </w:r>
      <w:hyperlink r:id="rId54">
        <w:r>
          <w:rPr>
            <w:rStyle w:val="Hyperlink"/>
            <w:rFonts w:ascii="Times New Roman" w:hAnsi="Times New Roman"/>
            <w:b w:val="false"/>
            <w:i w:val="false"/>
            <w:color w:val="000000"/>
            <w:sz w:val="22"/>
          </w:rPr>
          <w:t>214.19(4)</w:t>
        </w:r>
      </w:hyperlink>
      <w:r>
        <w:rPr>
          <w:rFonts w:ascii="Times New Roman" w:hAnsi="Times New Roman"/>
          <w:b w:val="false"/>
          <w:i w:val="false"/>
          <w:color w:val="000000"/>
          <w:sz w:val="22"/>
        </w:rPr>
        <w:t xml:space="preserve"> provides examples of supplies that could be mistaken for equipment and are not exempt from tax on other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Hand tools. </w:t>
      </w:r>
      <w:r>
        <w:rPr>
          <w:rFonts w:ascii="Times New Roman" w:hAnsi="Times New Roman"/>
          <w:b w:val="false"/>
          <w:i w:val="false"/>
          <w:color w:val="000000"/>
          <w:sz w:val="22"/>
        </w:rPr>
        <w:t>The term “hand tools” means tools that can be held in the hand or hands and that are powered by human effort. Hand tools specifically designed for use in the flowering, ornamental, or vegetable plant production process are exempt from tax as equipment. Mechanical devices that are held in the hand and driven by electricity from some source other than human muscle power are, if they meet all other qualifications,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“Directly used” in the flowering, ornamental, or vegetable plant production process. </w:t>
      </w:r>
      <w:r>
        <w:rPr>
          <w:rFonts w:ascii="Times New Roman" w:hAnsi="Times New Roman"/>
          <w:b w:val="false"/>
          <w:i w:val="false"/>
          <w:color w:val="000000"/>
          <w:sz w:val="22"/>
        </w:rPr>
        <w:t xml:space="preserve">To determine if machinery or equipment is “directly used” in the flowering, ornamental, or vegetable plant production process, one must first ensure that the machinery or equipment is used during the flowering, ornamental, or vegetable plant production process and not before that process has begun or after it has ended. Paragraph </w:t>
      </w:r>
      <w:hyperlink r:id="rId55">
        <w:r>
          <w:rPr>
            <w:rStyle w:val="Hyperlink"/>
            <w:rFonts w:ascii="Times New Roman" w:hAnsi="Times New Roman"/>
            <w:b w:val="false"/>
            <w:i w:val="false"/>
            <w:color w:val="000000"/>
            <w:sz w:val="22"/>
          </w:rPr>
          <w:t>214.18(2)</w:t>
        </w:r>
        <w:r>
          <w:rPr>
            <w:rFonts w:ascii="Times New Roman" w:hAnsi="Times New Roman"/>
            <w:b w:val="false"/>
            <w:i/>
            <w:color w:val="000000"/>
            <w:sz w:val="22"/>
          </w:rPr>
          <w:t>“g”</w:t>
        </w:r>
      </w:hyperlink>
      <w:r>
        <w:rPr>
          <w:rFonts w:ascii="Times New Roman" w:hAnsi="Times New Roman"/>
          <w:b w:val="false"/>
          <w:i w:val="false"/>
          <w:color w:val="000000"/>
          <w:sz w:val="22"/>
        </w:rPr>
        <w:t xml:space="preserve"> contains an explanation as to when the flowering, ornamental, or vegetable plant production process begins and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Definition. If the machinery or equipment is used in the flowering, ornamental, or vegetable plant production process, “directly used” means the use is an integral and essential part of production as distinguished from use that is incidental or merely convenient to production or use that is remote from production. Machinery or equipment may be necessary to the flowering, ornamental, or vegetable plant production process, but its use is so remote from production that it is not directly used in that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In determining whether machinery or equipment is directly used, consideration should be given to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physical proximity of the machinery or equipment to other machinery or equipment clearly exempt as directly used in the flowering, ornamental, or vegetable plant production process. The closer the machinery or equipment is to exempt machinery or equipment, the more likely it is that the machinery or equipment is directly used in the flowering, ornamental, or vegetable plant production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chronological proximity of the use of machinery or equipment in question to the use of machinery clearly exempt as directly used in the flowering, ornamental, or vegetable plant production process. The closer the proximity of the machinery’s or equipment’s use within the production process is to the use of exempt machinery or equipment, the more likely the use is direct rather than remote.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active causal relationship between the use of the machinery or equipment in question and the flowering, ornamental, or vegetable plant production process. The fewer intervening causes between the use of the machinery or equipment and the production of the product, the more likely it is that the machinery or equipment is directly used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“Primarily used” in flowering, ornamental, or vegetable plant production. </w:t>
      </w:r>
      <w:r>
        <w:rPr>
          <w:rFonts w:ascii="Times New Roman" w:hAnsi="Times New Roman"/>
          <w:b w:val="false"/>
          <w:i w:val="false"/>
          <w:color w:val="000000"/>
          <w:sz w:val="22"/>
        </w:rPr>
        <w:t>Machinery or equipment is “primarily used” in flowering, ornamental, or vegetable plant production based upon the total time it is used in flowering, ornamental, or vegetable plant production in comparison to the time it is used for other purposes. Any unit of machinery or equipment directly used in flowering, ornamental, or vegetable plant production more than 50 percent of its total use time is eligible for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Beginning and end of flowering, ornamental, or vegetable plant production. </w:t>
      </w:r>
      <w:r>
        <w:rPr>
          <w:rFonts w:ascii="Times New Roman" w:hAnsi="Times New Roman"/>
          <w:b w:val="false"/>
          <w:i w:val="false"/>
          <w:color w:val="000000"/>
          <w:sz w:val="22"/>
        </w:rPr>
        <w:t>Flowering, ornamental, or vegetable plant production begins with the purchase of seeds or starter plants. Flowering, ornamental, or vegetable plant production ceases when a plant has grown to the size or weight at which it will be prepared for shipment to the destination where it will be marketed.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design. </w:t>
      </w:r>
      <w:r>
        <w:rPr>
          <w:rFonts w:ascii="Times New Roman" w:hAnsi="Times New Roman"/>
          <w:b w:val="false"/>
          <w:i w:val="false"/>
          <w:color w:val="000000"/>
          <w:sz w:val="22"/>
        </w:rPr>
        <w:t>Machinery and equipment used in flowering, ornamental, or vegetable plant production are eligible for exemption if they were specifically designed for use in flowering, ornamental, or vegetable plant production. Machinery and equipment that are not specifically designed for use in flowering, ornamental, or vegetable plant production, but are directly and primarily used in flowering, ornamental, or vegetable plant production, are eligible for exemption with the exception of common or ordinary hand tools.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Bob Jones raises tulips and must use a thermometer to monitor the temperature in his greenhouse. Bob Jones buys a thermometer designed for use in a residence but uses it directly and primarily to monitor the temperature in his greenhouse. The thermometer’s use would be considered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Replacement parts. </w:t>
      </w:r>
      <w:r>
        <w:rPr>
          <w:rFonts w:ascii="Times New Roman" w:hAnsi="Times New Roman"/>
          <w:b w:val="false"/>
          <w:i w:val="false"/>
          <w:color w:val="000000"/>
          <w:sz w:val="22"/>
        </w:rPr>
        <w:t xml:space="preserve">The term “replacement parts” means the same as defined in paragraph </w:t>
      </w:r>
      <w:hyperlink r:id="rId56">
        <w:r>
          <w:rPr>
            <w:rStyle w:val="Hyperlink"/>
            <w:rFonts w:ascii="Times New Roman" w:hAnsi="Times New Roman"/>
            <w:b w:val="false"/>
            <w:i w:val="false"/>
            <w:color w:val="000000"/>
            <w:sz w:val="22"/>
          </w:rPr>
          <w:t>214.1(2)</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214.18(3)</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of machinery and equipment directly used in flowering, ornamental, or vegetable plant production can be found in </w:t>
      </w:r>
      <w:hyperlink r:id="rId57">
        <w:r>
          <w:rPr>
            <w:rStyle w:val="Hyperlink"/>
            <w:rFonts w:ascii="Times New Roman" w:hAnsi="Times New Roman"/>
            <w:b w:val="false"/>
            <w:i w:val="false"/>
            <w:color w:val="000000"/>
            <w:sz w:val="22"/>
          </w:rPr>
          <w:t>subrule 214.19(3)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214.18(4)</w:t>
      </w:r>
      <w:r>
        <w:rPr>
          <w:rFonts w:ascii="Times New Roman" w:hAnsi="Times New Roman"/>
          <w:b w:val="false"/>
          <w:i w:val="false"/>
          <w:color w:val="000000"/>
          <w:sz w:val="22"/>
        </w:rPr>
        <w:t> </w:t>
      </w:r>
      <w:r>
        <w:rPr>
          <w:rFonts w:ascii="Times New Roman" w:hAnsi="Times New Roman"/>
          <w:b w:val="false"/>
          <w:i w:val="false"/>
          <w:color w:val="000000"/>
          <w:sz w:val="22"/>
        </w:rPr>
        <w:t>Taxable examples. The following are nonexclusive examples of machinery or equipment that would not be directly used in flowering, ornamental, or vegetable plant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to assemble, maintain, or repair other machinery or equipment directly used in flowering, ornamental, or vegetable plant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in the growing operation’s management, administration, advertising, or selling (e.g., calculators, office safes, telephones, books, and plant magazines).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in the exhibit of flowering, ornamental, or vegetable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in safety or fire prevention, even though the machinery or equipment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for employee or personal use. Machinery or equipment used for the personal comfort, convenience, or use by a grower, the grower’s family or employees, or persons associated with the grower is not exempt from tax. Examples of such machinery and equipment include the following: beds, mattresses, blankets, tableware, stoves, refrigerators, and other equipment used in conjunction with the operation of a grower’s home, or other facilities for the grower’s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Machinery or equipment used for heating, cooling, ventilation, and lighting of office, retail, or display buildings where production does not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Vehicles subject to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214.18(5)</w:t>
      </w:r>
      <w:r>
        <w:rPr>
          <w:rFonts w:ascii="Times New Roman" w:hAnsi="Times New Roman"/>
          <w:b w:val="false"/>
          <w:i w:val="false"/>
          <w:color w:val="000000"/>
          <w:sz w:val="22"/>
        </w:rPr>
        <w:t> </w:t>
      </w:r>
      <w:r>
        <w:rPr>
          <w:rFonts w:ascii="Times New Roman" w:hAnsi="Times New Roman"/>
          <w:b w:val="false"/>
          <w:i w:val="false"/>
          <w:color w:val="000000"/>
          <w:sz w:val="22"/>
        </w:rPr>
        <w:t>Packing material used in flowering, ornamental, or vegetable plant production. The sales price for the sale of property that is a container, label, carton, pallet, packing case, wrapping, baling wire, twine, bag, bottle, shipping case, or other similar article or receptacle sold for use in the production of flowering, ornamental, or vegetable plants in commercial greenhouses or other places that sell such items in the ordinary course of business is not subject to sales tax. Containers and packaging materials include but are not limited to boxes, trays, labels, sleeves, tape, and staples.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214.18(6)</w:t>
      </w:r>
      <w:r>
        <w:rPr>
          <w:rFonts w:ascii="Times New Roman" w:hAnsi="Times New Roman"/>
          <w:b w:val="false"/>
          <w:i w:val="false"/>
          <w:color w:val="000000"/>
          <w:sz w:val="22"/>
        </w:rPr>
        <w:t> </w:t>
      </w:r>
      <w:r>
        <w:rPr>
          <w:rFonts w:ascii="Times New Roman" w:hAnsi="Times New Roman"/>
          <w:b w:val="false"/>
          <w:i w:val="false"/>
          <w:color w:val="000000"/>
          <w:sz w:val="22"/>
        </w:rPr>
        <w:t>Self-propelled implements. The sales price from the sale of self-propelled implements or implements customarily drawn or attached to self-propelled implements and replacement parts for the same is exempt from tax if the implements are used directly and primarily in the production of flowering, ornamental, or vegetable plants in commercial greenhouses or elsewhere. Exempt implements include but are not limited to forklifts used to transport pallets of flowering, ornamental, or vegetable plants, wagons containing sterilized soil, and tractors used to pull these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214.18(7)</w:t>
      </w:r>
      <w:r>
        <w:rPr>
          <w:rFonts w:ascii="Times New Roman" w:hAnsi="Times New Roman"/>
          <w:b w:val="false"/>
          <w:i w:val="false"/>
          <w:color w:val="000000"/>
          <w:sz w:val="22"/>
        </w:rPr>
        <w:t> </w:t>
      </w:r>
      <w:r>
        <w:rPr>
          <w:rFonts w:ascii="Times New Roman" w:hAnsi="Times New Roman"/>
          <w:b w:val="false"/>
          <w:i w:val="false"/>
          <w:color w:val="000000"/>
          <w:sz w:val="22"/>
        </w:rPr>
        <w:t xml:space="preserve">Machinery and equipment used in flowering, ornamental, or vegetable plant production that are not self-propelled or attached to self-propelled machinery and equipment are exempt from tax. Rule </w:t>
      </w:r>
      <w:hyperlink r:id="rId58">
        <w:r>
          <w:rPr>
            <w:rStyle w:val="Hyperlink"/>
            <w:rFonts w:ascii="Times New Roman" w:hAnsi="Times New Roman"/>
            <w:b w:val="false"/>
            <w:i w:val="false"/>
            <w:color w:val="000000"/>
            <w:sz w:val="22"/>
          </w:rPr>
          <w:t>701—214.19</w:t>
        </w:r>
      </w:hyperlink>
      <w:r>
        <w:rPr>
          <w:rFonts w:ascii="Times New Roman" w:hAnsi="Times New Roman"/>
          <w:b w:val="false"/>
          <w:i w:val="false"/>
          <w:color w:val="000000"/>
          <w:sz w:val="22"/>
        </w:rPr>
        <w:t>(423) includes nonexclusive examples of machinery and equipment that are not self-propelled or attached to self-propelled machinery and equipment and that are directly and primarily used in flowering, ornamental, or vegetable plant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214.18(8)</w:t>
      </w:r>
      <w:r>
        <w:rPr>
          <w:rFonts w:ascii="Times New Roman" w:hAnsi="Times New Roman"/>
          <w:b w:val="false"/>
          <w:i w:val="false"/>
          <w:color w:val="000000"/>
          <w:sz w:val="22"/>
        </w:rPr>
        <w:t> </w:t>
      </w:r>
      <w:r>
        <w:rPr>
          <w:rFonts w:ascii="Times New Roman" w:hAnsi="Times New Roman"/>
          <w:b w:val="false"/>
          <w:i w:val="false"/>
          <w:color w:val="000000"/>
          <w:sz w:val="22"/>
        </w:rPr>
        <w:t xml:space="preserve">Fuel used in plant production is discussed in paragraph </w:t>
      </w:r>
      <w:hyperlink r:id="rId59">
        <w:r>
          <w:rPr>
            <w:rStyle w:val="Hyperlink"/>
            <w:rFonts w:ascii="Times New Roman" w:hAnsi="Times New Roman"/>
            <w:b w:val="false"/>
            <w:i w:val="false"/>
            <w:color w:val="000000"/>
            <w:sz w:val="22"/>
          </w:rPr>
          <w:t>214.12(2)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214.18(9)</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water used in the production of plants is exempt from tax. If water is not separately metered, the plants’ grower must determine by use of a percentage the portion of water used for a taxable purpose and the portion used for an exempt purpose. Nonexclusive examples of taxable usage include restrooms, sanitation, lawns, and vehicle wash.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214.18(10)</w:t>
      </w:r>
      <w:r>
        <w:rPr>
          <w:rFonts w:ascii="Times New Roman" w:hAnsi="Times New Roman"/>
          <w:b w:val="false"/>
          <w:i w:val="false"/>
          <w:color w:val="000000"/>
          <w:sz w:val="22"/>
        </w:rPr>
        <w:t> </w:t>
      </w:r>
      <w:r>
        <w:rPr>
          <w:rFonts w:ascii="Times New Roman" w:hAnsi="Times New Roman"/>
          <w:b w:val="false"/>
          <w:i w:val="false"/>
          <w:color w:val="000000"/>
          <w:sz w:val="22"/>
        </w:rPr>
        <w:t xml:space="preserve">Agricultural health promotion items. The sales price from the sale to a commercial greenhouse of fertilizer, limestone, herbicides, pesticides, insecticides, plant food, and medication for use in disease, weed, and insect control or in other health promotion of flowering, ornamental, or vegetable plants is exempt from tax. For the purposes of this rule, a virus, bacterium, fungus, or insect that is purchased for use in killing insects or other pests is an insecticide or pesticide. Rule </w:t>
      </w:r>
      <w:hyperlink r:id="rId60">
        <w:r>
          <w:rPr>
            <w:rStyle w:val="Hyperlink"/>
            <w:rFonts w:ascii="Times New Roman" w:hAnsi="Times New Roman"/>
            <w:b w:val="false"/>
            <w:i w:val="false"/>
            <w:color w:val="000000"/>
            <w:sz w:val="22"/>
          </w:rPr>
          <w:t>701—214.9</w:t>
        </w:r>
      </w:hyperlink>
      <w:r>
        <w:rPr>
          <w:rFonts w:ascii="Times New Roman" w:hAnsi="Times New Roman"/>
          <w:b w:val="false"/>
          <w:i w:val="false"/>
          <w:color w:val="000000"/>
          <w:sz w:val="22"/>
        </w:rPr>
        <w:t>(423) contains more information regarding these exemptions.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214.18(11)</w:t>
      </w:r>
      <w:r>
        <w:rPr>
          <w:rFonts w:ascii="Times New Roman" w:hAnsi="Times New Roman"/>
          <w:b w:val="false"/>
          <w:i w:val="false"/>
          <w:color w:val="000000"/>
          <w:sz w:val="22"/>
        </w:rPr>
        <w:t> </w:t>
      </w:r>
      <w:r>
        <w:rPr>
          <w:rFonts w:ascii="Times New Roman" w:hAnsi="Times New Roman"/>
          <w:b w:val="false"/>
          <w:i w:val="false"/>
          <w:color w:val="000000"/>
          <w:sz w:val="22"/>
        </w:rPr>
        <w:t>Miscellaneous exempt and taxable plant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of pots, soil, seeds, bulbs, and starter plants for use in plant production are not the sale of machinery or equipment, but can be sales for resale and exempt from tax if the pots and soil are sold with the final product or become the finished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portable buildings that will be used to display plants for retail sales is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whitewash that will be painted on greenhouses to control the amount of sunlight entering those greenhouses is subject to tax as the sale of a supply rather than exempt from tax as a sale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214.18(12)</w:t>
      </w:r>
      <w:r>
        <w:rPr>
          <w:rFonts w:ascii="Times New Roman" w:hAnsi="Times New Roman"/>
          <w:b w:val="false"/>
          <w:i w:val="false"/>
          <w:color w:val="000000"/>
          <w:sz w:val="22"/>
        </w:rPr>
        <w:t> </w:t>
      </w:r>
      <w:r>
        <w:rPr>
          <w:rFonts w:ascii="Times New Roman" w:hAnsi="Times New Roman"/>
          <w:b w:val="false"/>
          <w:i w:val="false"/>
          <w:color w:val="000000"/>
          <w:sz w:val="22"/>
        </w:rPr>
        <w:t>Seller’s and purchaser’s liability for sales tax. The seller is to be relieved of sales tax liability if the seller receives from the purchaser an exemption certificate stating that the purchase is of machinery and equipment meeting the requirements of this rule. The exemption certificate must be fully completed. If items purchased tax-free pursuant to an exemption certificate are used or disposed of by the purchaser in a nonexempt manner, the purchaser is solely and directly liable for the sales tax and remits the tax to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423.3(15)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701—214.19</w:t>
      </w:r>
      <w:r>
        <w:rPr>
          <w:rFonts w:ascii="Times New Roman" w:hAnsi="Times New Roman"/>
          <w:b/>
          <w:i w:val="false"/>
          <w:color w:val="000000"/>
          <w:sz w:val="22"/>
        </w:rPr>
        <w:t xml:space="preserve">(423) </w:t>
      </w:r>
      <w:r>
        <w:rPr>
          <w:rFonts w:ascii="Times New Roman" w:hAnsi="Times New Roman"/>
          <w:b/>
          <w:i w:val="false"/>
          <w:color w:val="000000"/>
          <w:sz w:val="22"/>
        </w:rPr>
        <w:t xml:space="preserve">Nonexclusive lists. </w:t>
      </w:r>
      <w:r>
        <w:rPr>
          <w:rFonts w:ascii="Times New Roman" w:hAnsi="Times New Roman"/>
          <w:b w:val="false"/>
          <w:i w:val="false"/>
          <w:color w:val="000000"/>
          <w:sz w:val="22"/>
        </w:rPr>
        <w:t>The following tables list items that are taxable or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214.19(1)</w:t>
      </w:r>
      <w:r>
        <w:rPr>
          <w:rFonts w:ascii="Times New Roman" w:hAnsi="Times New Roman"/>
          <w:b w:val="false"/>
          <w:i w:val="false"/>
          <w:color w:val="000000"/>
          <w:sz w:val="22"/>
        </w:rPr>
        <w:t> </w:t>
      </w:r>
      <w:r>
        <w:rPr>
          <w:rFonts w:ascii="Times New Roman" w:hAnsi="Times New Roman"/>
          <w:b w:val="false"/>
          <w:i/>
          <w:color w:val="000000"/>
          <w:sz w:val="22"/>
        </w:rPr>
        <w:t xml:space="preserve">Exempt for agricultural production. </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adjuvants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irrigation equipment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alternators and generators*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kill cones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augers*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limestone, agricultural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balers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manure spreaders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bale transportation equipment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mowers, hay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baling wire and binding twine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oil filters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batteries for exempt machinery</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oil pumps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blowers, grain dryer</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packing materials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brush hogs*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pesticides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combines, cornheads, platforms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pickers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conveyors, temporary or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plants (seeds)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corn pickers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crawlers, tractor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plows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cultipackers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piston rings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cultivators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pruning and picking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discs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replacement parts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draft horses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rock pickers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drags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rollers*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drainage pipe and tile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rotary blade mowers; not lawn mowers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dusters*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rotary hoes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ensilage cutters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seeders</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ensilage forks and trucks (a pickup does not qualify)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 cleaners*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farm wagons and accessories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seed planters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fertilizer, agricultural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fertilizer spreaders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self-propelled implements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filters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shellers*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forage harvesters, boxes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silo blowers, unloaders*</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fuel for grain drying or other agricultural </w:t>
            </w:r>
            <w:r>
              <w:br/>
            </w:r>
          </w:p>
          <w:p>
            <w:pPr>
              <w:spacing w:before="0" w:after="0"/>
              <w:ind w:left="160"/>
              <w:jc w:val="left"/>
            </w:pPr>
            <w:r>
              <w:rPr>
                <w:rFonts w:ascii="Times New Roman" w:hAnsi="Times New Roman"/>
                <w:b w:val="false"/>
                <w:i w:val="false"/>
                <w:color w:val="000000"/>
                <w:sz w:val="20"/>
              </w:rPr>
              <w:t>production</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sowers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gaskets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spark plugs for exempt machinery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grain augers,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sprayers*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grain drills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spreaders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grain dryer, heater and blower only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sprinklers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grain planters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subsoilers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harrows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surfactants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hay conditioners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tillers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hay hooks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tires for exempt machinery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hay loaders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 chains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herbicides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tractors, farm</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implements customarily drawn or attached</w:t>
            </w:r>
            <w:r>
              <w:br/>
            </w:r>
          </w:p>
          <w:p>
            <w:pPr>
              <w:spacing w:before="0" w:after="0"/>
              <w:ind w:left="160"/>
              <w:jc w:val="left"/>
            </w:pPr>
            <w:r>
              <w:rPr>
                <w:rFonts w:ascii="Times New Roman" w:hAnsi="Times New Roman"/>
                <w:b w:val="false"/>
                <w:i w:val="false"/>
                <w:color w:val="000000"/>
                <w:sz w:val="20"/>
              </w:rPr>
              <w:t xml:space="preserve">to a self-propelled implement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tractor weights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insecticides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vegetable harvesters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weeders*</w:t>
            </w:r>
          </w:p>
        </w:tc>
      </w:tr>
      <w:tr>
        <w:trPr>
          <w:trHeight w:val="60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5"/>
              </w:rPr>
              <w:t>*Exempt if drawn or attached to a self-propelled farm implement and directly and primarily used in agricultural production or, if portable, used directly and primarily in agricultural production.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214.19(2)</w:t>
      </w:r>
      <w:r>
        <w:rPr>
          <w:rFonts w:ascii="Times New Roman" w:hAnsi="Times New Roman"/>
          <w:b w:val="false"/>
          <w:i w:val="false"/>
          <w:color w:val="000000"/>
          <w:sz w:val="22"/>
        </w:rPr>
        <w:t> </w:t>
      </w:r>
      <w:r>
        <w:rPr>
          <w:rFonts w:ascii="Times New Roman" w:hAnsi="Times New Roman"/>
          <w:b w:val="false"/>
          <w:i/>
          <w:color w:val="000000"/>
          <w:sz w:val="22"/>
        </w:rPr>
        <w:t xml:space="preserve">Exempt for dairy and livestock production. </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adjuvants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heaters,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alternators and generators</w:t>
            </w:r>
            <w:r>
              <w:rPr>
                <w:rFonts w:ascii="Times New Roman" w:hAnsi="Times New Roman"/>
                <w:b w:val="false"/>
                <w:i w:val="false"/>
                <w:color w:val="000000"/>
                <w:sz w:val="18"/>
                <w:vertAlign w:val="superscript"/>
              </w:rPr>
              <w:t>1</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hog feeders, portable</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artificial insemination equipment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hog ringers</w:t>
            </w:r>
            <w:r>
              <w:rPr>
                <w:rFonts w:ascii="Times New Roman" w:hAnsi="Times New Roman"/>
                <w:b w:val="false"/>
                <w:i w:val="false"/>
                <w:color w:val="000000"/>
                <w:sz w:val="18"/>
                <w:vertAlign w:val="superscript"/>
              </w:rPr>
              <w:t>3</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auger systems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hoof trimmers, portable</w:t>
            </w:r>
            <w:r>
              <w:rPr>
                <w:rFonts w:ascii="Times New Roman" w:hAnsi="Times New Roman"/>
                <w:b w:val="false"/>
                <w:i w:val="false"/>
                <w:color w:val="000000"/>
                <w:sz w:val="18"/>
                <w:vertAlign w:val="superscript"/>
              </w:rPr>
              <w:t>3</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automatic feeding systems,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hypodermic syringes and needles, nondisposable</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batteries for exempt machinery</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implements customarily drawn or attached</w:t>
            </w:r>
            <w:r>
              <w:br/>
            </w:r>
          </w:p>
          <w:p>
            <w:pPr>
              <w:spacing w:before="0" w:after="0"/>
              <w:ind w:left="160"/>
              <w:jc w:val="left"/>
            </w:pPr>
            <w:r>
              <w:rPr>
                <w:rFonts w:ascii="Times New Roman" w:hAnsi="Times New Roman"/>
                <w:b w:val="false"/>
                <w:i w:val="false"/>
                <w:color w:val="000000"/>
                <w:sz w:val="20"/>
              </w:rPr>
              <w:t>to a self-propelled implement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barn ventilators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incubators, portable</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bedding materials</w:t>
            </w:r>
            <w:r>
              <w:rPr>
                <w:rFonts w:ascii="Times New Roman" w:hAnsi="Times New Roman"/>
                <w:b w:val="false"/>
                <w:i w:val="false"/>
                <w:color w:val="000000"/>
                <w:sz w:val="18"/>
                <w:vertAlign w:val="superscript"/>
              </w:rPr>
              <w:t>2</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inlets and inlet systems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breeding stock, agricultural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inoculation materials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bulk feeding tanks,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insecticides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bulk milk coolers and tanks,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kill cones </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calf weaners and feeders, portable </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livestock feeding, watering and handling </w:t>
            </w:r>
          </w:p>
          <w:p>
            <w:pPr>
              <w:spacing w:before="0" w:after="0"/>
              <w:ind w:left="160"/>
              <w:jc w:val="left"/>
            </w:pPr>
            <w:r>
              <w:rPr>
                <w:rFonts w:ascii="Times New Roman" w:hAnsi="Times New Roman"/>
                <w:b w:val="false"/>
                <w:i w:val="false"/>
                <w:color w:val="000000"/>
                <w:sz w:val="20"/>
              </w:rPr>
              <w:t>equipment, portable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cattle feeders,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loading chutes,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chain and rope hoists, portable</w:t>
            </w:r>
            <w:r>
              <w:rPr>
                <w:rFonts w:ascii="Times New Roman" w:hAnsi="Times New Roman"/>
                <w:b w:val="false"/>
                <w:i w:val="false"/>
                <w:color w:val="000000"/>
                <w:sz w:val="18"/>
                <w:vertAlign w:val="superscript"/>
              </w:rPr>
              <w:t>1</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manure brooms, portable</w:t>
            </w:r>
            <w:r>
              <w:rPr>
                <w:rFonts w:ascii="Times New Roman" w:hAnsi="Times New Roman"/>
                <w:b w:val="false"/>
                <w:i w:val="false"/>
                <w:color w:val="000000"/>
                <w:sz w:val="18"/>
                <w:vertAlign w:val="superscript"/>
              </w:rPr>
              <w:t>3</w:t>
            </w:r>
          </w:p>
        </w:tc>
      </w:tr>
      <w:tr>
        <w:trPr>
          <w:trHeight w:val="52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chicken pickers, plucking equipment </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manure handling equipment, including front- </w:t>
            </w:r>
          </w:p>
          <w:p>
            <w:pPr>
              <w:spacing w:before="0" w:after="0"/>
              <w:ind w:left="160"/>
              <w:jc w:val="left"/>
            </w:pPr>
            <w:r>
              <w:rPr>
                <w:rFonts w:ascii="Times New Roman" w:hAnsi="Times New Roman"/>
                <w:b w:val="false"/>
                <w:i w:val="false"/>
                <w:color w:val="000000"/>
                <w:sz w:val="20"/>
              </w:rPr>
              <w:t>end and rear-end loaders, portable</w:t>
            </w:r>
            <w:r>
              <w:rPr>
                <w:rFonts w:ascii="Times New Roman" w:hAnsi="Times New Roman"/>
                <w:b w:val="false"/>
                <w:i w:val="false"/>
                <w:color w:val="000000"/>
                <w:sz w:val="18"/>
                <w:vertAlign w:val="superscript"/>
              </w:rPr>
              <w:t>3</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chick guards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manure scoops, portable</w:t>
            </w:r>
            <w:r>
              <w:rPr>
                <w:rFonts w:ascii="Times New Roman" w:hAnsi="Times New Roman"/>
                <w:b w:val="false"/>
                <w:i w:val="false"/>
                <w:color w:val="000000"/>
                <w:sz w:val="18"/>
                <w:vertAlign w:val="superscript"/>
              </w:rPr>
              <w:t>1</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clipping machines, portable</w:t>
            </w:r>
            <w:r>
              <w:rPr>
                <w:rFonts w:ascii="Times New Roman" w:hAnsi="Times New Roman"/>
                <w:b w:val="false"/>
                <w:i w:val="false"/>
                <w:color w:val="000000"/>
                <w:sz w:val="18"/>
                <w:vertAlign w:val="superscript"/>
              </w:rPr>
              <w:t>3</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medications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conveyors, temporary or portable</w:t>
            </w:r>
            <w:r>
              <w:rPr>
                <w:rFonts w:ascii="Times New Roman" w:hAnsi="Times New Roman"/>
                <w:b w:val="false"/>
                <w:i w:val="false"/>
                <w:color w:val="000000"/>
                <w:sz w:val="18"/>
                <w:vertAlign w:val="superscript"/>
              </w:rPr>
              <w:t>1</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milk coolers,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cow stalls,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milking equipment, including cans, etc.</w:t>
            </w:r>
            <w:r>
              <w:rPr>
                <w:rFonts w:ascii="Times New Roman" w:hAnsi="Times New Roman"/>
                <w:b w:val="false"/>
                <w:i w:val="false"/>
                <w:color w:val="000000"/>
                <w:sz w:val="18"/>
                <w:vertAlign w:val="superscript"/>
              </w:rPr>
              <w:t>3</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cow ties,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milking machines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cow watering and feeding bowls,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milk strainers and strainer disks, if not disposable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crawlers, tractor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milk tanks,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currying and oiling machines,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pesticides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curtains and curtain systems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poultry feeders,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dehorners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founts, portable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domestic fowl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poultry litters,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draft horses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poultry nests,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drip systems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refrigerators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electric fence equipment,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replacement parts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fans and fan systems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sawdust</w:t>
            </w:r>
            <w:r>
              <w:rPr>
                <w:rFonts w:ascii="Times New Roman" w:hAnsi="Times New Roman"/>
                <w:b w:val="false"/>
                <w:i w:val="false"/>
                <w:color w:val="000000"/>
                <w:sz w:val="18"/>
                <w:vertAlign w:val="superscript"/>
              </w:rPr>
              <w:t>2</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farm wagons and accessories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self-propelled implements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farrowing houses, crates, stalls,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shutters and shutter systems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space heaters,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bins,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specialized flooring,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carts,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sprayers</w:t>
            </w:r>
            <w:r>
              <w:rPr>
                <w:rFonts w:ascii="Times New Roman" w:hAnsi="Times New Roman"/>
                <w:b w:val="false"/>
                <w:i w:val="false"/>
                <w:color w:val="000000"/>
                <w:sz w:val="18"/>
                <w:vertAlign w:val="superscript"/>
              </w:rPr>
              <w:t>1</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elevators,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squeeze chutes, stalls, portable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grinders,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stanchions, portable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 scoops</w:t>
            </w:r>
            <w:r>
              <w:rPr>
                <w:rFonts w:ascii="Times New Roman" w:hAnsi="Times New Roman"/>
                <w:b w:val="false"/>
                <w:i w:val="false"/>
                <w:color w:val="000000"/>
                <w:sz w:val="18"/>
                <w:vertAlign w:val="superscript"/>
              </w:rPr>
              <w:t>3</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surfactants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feed tanks,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tires for exempt machinery </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feeder chutes,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thermometers</w:t>
            </w:r>
            <w:r>
              <w:rPr>
                <w:rFonts w:ascii="Times New Roman" w:hAnsi="Times New Roman"/>
                <w:b w:val="false"/>
                <w:i w:val="false"/>
                <w:color w:val="000000"/>
                <w:sz w:val="18"/>
                <w:vertAlign w:val="superscript"/>
              </w:rPr>
              <w:t>3</w:t>
            </w:r>
          </w:p>
        </w:tc>
      </w:tr>
      <w:tr>
        <w:trPr>
          <w:trHeight w:val="28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feeders, portable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 chains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fence and fencing supplies, temporary or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tractors, farm</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foggers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tractor weights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fuel to heat or cool livestock buildings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vacuum coolers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gaskets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ventilators </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gates,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filters, heaters, pumps, softeners, portable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gestation stalls,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waterers/watering tanks, portable</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grooming equipment, portable</w:t>
            </w:r>
            <w:r>
              <w:rPr>
                <w:rFonts w:ascii="Times New Roman" w:hAnsi="Times New Roman"/>
                <w:b w:val="false"/>
                <w:i w:val="false"/>
                <w:color w:val="000000"/>
                <w:sz w:val="18"/>
                <w:vertAlign w:val="superscript"/>
              </w:rPr>
              <w:t>3</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weaners</w:t>
            </w:r>
          </w:p>
        </w:tc>
      </w:tr>
      <w:tr>
        <w:trPr>
          <w:trHeight w:val="30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head gates, portable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wood chips</w:t>
            </w:r>
            <w:r>
              <w:rPr>
                <w:rFonts w:ascii="Times New Roman" w:hAnsi="Times New Roman"/>
                <w:b w:val="false"/>
                <w:i w:val="false"/>
                <w:color w:val="000000"/>
                <w:sz w:val="18"/>
                <w:vertAlign w:val="superscript"/>
              </w:rPr>
              <w:t>2</w:t>
            </w:r>
          </w:p>
        </w:tc>
      </w:tr>
      <w:tr>
        <w:trPr>
          <w:trHeight w:val="106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20"/>
              </w:rPr>
              <w:t>Exempt if drawn or attached to a self-propelled farm implement and directly and primarily used in dairy or livestock production or, if portable, used directly and primarily in dairy or livestock production.</w:t>
            </w:r>
          </w:p>
          <w:p>
            <w:pPr>
              <w:spacing w:before="0" w:after="0"/>
              <w:ind w:left="16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20"/>
              </w:rPr>
              <w:t>Exempt when used as livestock and poultry bedding.</w:t>
            </w:r>
          </w:p>
          <w:p>
            <w:pPr>
              <w:spacing w:before="0" w:after="0"/>
              <w:ind w:left="160"/>
              <w:jc w:val="left"/>
            </w:pPr>
            <w:r>
              <w:rPr>
                <w:rFonts w:ascii="Times New Roman" w:hAnsi="Times New Roman"/>
                <w:b w:val="false"/>
                <w:i w:val="false"/>
                <w:color w:val="000000"/>
                <w:sz w:val="18"/>
                <w:vertAlign w:val="superscript"/>
              </w:rPr>
              <w:t>3</w:t>
            </w:r>
            <w:r>
              <w:rPr>
                <w:rFonts w:ascii="Times New Roman" w:hAnsi="Times New Roman"/>
                <w:b w:val="false"/>
                <w:i w:val="false"/>
                <w:color w:val="000000"/>
                <w:sz w:val="20"/>
              </w:rPr>
              <w:t>Designed for farm use.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214.19(3)</w:t>
      </w:r>
      <w:r>
        <w:rPr>
          <w:rFonts w:ascii="Times New Roman" w:hAnsi="Times New Roman"/>
          <w:b w:val="false"/>
          <w:i w:val="false"/>
          <w:color w:val="000000"/>
          <w:sz w:val="22"/>
        </w:rPr>
        <w:t> </w:t>
      </w:r>
      <w:r>
        <w:rPr>
          <w:rFonts w:ascii="Times New Roman" w:hAnsi="Times New Roman"/>
          <w:b w:val="false"/>
          <w:i/>
          <w:color w:val="000000"/>
          <w:sz w:val="22"/>
        </w:rPr>
        <w:t xml:space="preserve">Exempt for flowering, ornamental, or vegetable plant production. </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air-conditioning pads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greenhouse monorail systems*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airflow control tubes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greenhouse thermometers</w:t>
            </w:r>
          </w:p>
        </w:tc>
      </w:tr>
      <w:tr>
        <w:trPr>
          <w:trHeight w:val="33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atmospheric CO</w:t>
            </w:r>
            <w:r>
              <w:rPr>
                <w:rFonts w:ascii="Times New Roman" w:hAnsi="Times New Roman"/>
                <w:b w:val="false"/>
                <w:i w:val="false"/>
                <w:color w:val="000000"/>
                <w:sz w:val="18"/>
                <w:vertAlign w:val="subscript"/>
              </w:rPr>
              <w:t>2</w:t>
            </w:r>
            <w:r>
              <w:rPr>
                <w:rFonts w:ascii="Times New Roman" w:hAnsi="Times New Roman"/>
                <w:b w:val="false"/>
                <w:i w:val="false"/>
                <w:color w:val="000000"/>
                <w:sz w:val="20"/>
              </w:rPr>
              <w:t xml:space="preserve"> control and monitoring equipment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handcarts used to move plants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backup generators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lighting that provides artificial sunlight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bins holding sterilized soil</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overhead heating, lighting, and watering systems*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control panels for heating and cooling systems*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overhead tracks for holding potted plants*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coolers used to chill plants*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 tables*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cooling walls* or membranes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plant watering systems*</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equipment used to control water levels</w:t>
            </w:r>
            <w:r>
              <w:br/>
            </w:r>
          </w:p>
          <w:p>
            <w:pPr>
              <w:spacing w:before="0" w:after="0"/>
              <w:ind w:left="160"/>
              <w:jc w:val="left"/>
            </w:pPr>
            <w:r>
              <w:rPr>
                <w:rFonts w:ascii="Times New Roman" w:hAnsi="Times New Roman"/>
                <w:b w:val="false"/>
                <w:i w:val="false"/>
                <w:color w:val="000000"/>
                <w:sz w:val="20"/>
              </w:rPr>
              <w:t>for subirrigation</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portable buildings used to grow plants*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fans used for cooling and ventilating*</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seeding and transplanting machines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floor mesh for controlling weeds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soil pot and soil flat filling machines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germination chambers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steam generators for soil sterilization*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greenhouse boilers*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warning devices that monitor excess heat or cold</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greenhouse netting or mesh when used</w:t>
            </w:r>
            <w:r>
              <w:br/>
            </w:r>
          </w:p>
          <w:p>
            <w:pPr>
              <w:spacing w:before="0" w:after="0"/>
              <w:ind w:left="160"/>
              <w:jc w:val="left"/>
            </w:pPr>
            <w:r>
              <w:rPr>
                <w:rFonts w:ascii="Times New Roman" w:hAnsi="Times New Roman"/>
                <w:b w:val="false"/>
                <w:i w:val="false"/>
                <w:color w:val="000000"/>
                <w:sz w:val="20"/>
              </w:rPr>
              <w:t>for light and heat control</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watering booms</w:t>
            </w:r>
          </w:p>
        </w:tc>
      </w:tr>
      <w:tr>
        <w:trPr>
          <w:trHeight w:val="34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5"/>
              </w:rPr>
              <w:t xml:space="preserve">*Exempt if not real property. “Real property” is defined in Iowa Code section </w:t>
            </w:r>
            <w:hyperlink r:id="rId63">
              <w:r>
                <w:rPr>
                  <w:rStyle w:val="Hyperlink"/>
                  <w:rFonts w:ascii="Times New Roman" w:hAnsi="Times New Roman"/>
                  <w:b w:val="false"/>
                  <w:i w:val="false"/>
                  <w:color w:val="000000"/>
                  <w:sz w:val="15"/>
                </w:rPr>
                <w:t>4.1(13)</w:t>
              </w:r>
            </w:hyperlink>
            <w:r>
              <w:rPr>
                <w:rFonts w:ascii="Times New Roman" w:hAnsi="Times New Roman"/>
                <w:b w:val="false"/>
                <w:i w:val="false"/>
                <w:color w:val="000000"/>
                <w:sz w:val="15"/>
              </w:rPr>
              <w:t xml:space="preserve"> as “lands, tenements, hereditaments, and all rights thereto and interests therein, equitable as well as legal.” More information can be found in </w:t>
            </w:r>
            <w:hyperlink r:id="rId64">
              <w:r>
                <w:rPr>
                  <w:rStyle w:val="Hyperlink"/>
                  <w:rFonts w:ascii="Times New Roman" w:hAnsi="Times New Roman"/>
                  <w:b w:val="false"/>
                  <w:i w:val="false"/>
                  <w:color w:val="000000"/>
                  <w:sz w:val="15"/>
                </w:rPr>
                <w:t>701—Chapter 219</w:t>
              </w:r>
            </w:hyperlink>
            <w:r>
              <w:rPr>
                <w:rFonts w:ascii="Times New Roman" w:hAnsi="Times New Roman"/>
                <w:b w:val="false"/>
                <w:i w:val="false"/>
                <w:color w:val="000000"/>
                <w:sz w:val="15"/>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214.19(4)</w:t>
      </w:r>
      <w:r>
        <w:rPr>
          <w:rFonts w:ascii="Times New Roman" w:hAnsi="Times New Roman"/>
          <w:b w:val="false"/>
          <w:i w:val="false"/>
          <w:color w:val="000000"/>
          <w:sz w:val="22"/>
        </w:rPr>
        <w:t> </w:t>
      </w:r>
      <w:r>
        <w:rPr>
          <w:rFonts w:ascii="Times New Roman" w:hAnsi="Times New Roman"/>
          <w:b w:val="false"/>
          <w:i/>
          <w:color w:val="000000"/>
          <w:sz w:val="22"/>
        </w:rPr>
        <w:t xml:space="preserve">Taxable even if used in agricultural production. </w:t>
      </w:r>
    </w:p>
    <w:tbl>
      <w:tblPr>
        <w:tblW w:w="5000" w:type="pct"/>
        <w:tblCellSpacing w:w="0" w:type="auto"/>
        <w:tblBorders>
          <w:top w:val="none"/>
          <w:left w:val="none"/>
          <w:bottom w:val="none"/>
          <w:right w:val="none"/>
          <w:insideH w:val="none"/>
          <w:insideV w:val="none"/>
        </w:tblBorders>
        <w:tblLayout w:type="fixed"/>
      </w:tblPr>
      <w:tblGrid>
        <w:gridCol w:w="5760"/>
        <w:gridCol w:w="5760"/>
      </w:tblGrid>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additives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lubricants and fluids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 compressors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lumber*</w:t>
            </w:r>
          </w:p>
        </w:tc>
      </w:tr>
      <w:tr>
        <w:trPr>
          <w:trHeight w:val="480" w:hRule="atLeast"/>
        </w:trPr>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air conditioners, unless a replacement part</w:t>
            </w:r>
            <w:r>
              <w:br/>
            </w:r>
          </w:p>
          <w:p>
            <w:pPr>
              <w:spacing w:before="0" w:after="0"/>
              <w:ind w:left="160"/>
              <w:jc w:val="left"/>
            </w:pPr>
            <w:r>
              <w:rPr>
                <w:rFonts w:ascii="Times New Roman" w:hAnsi="Times New Roman"/>
                <w:b w:val="false"/>
                <w:i w:val="false"/>
                <w:color w:val="000000"/>
                <w:sz w:val="20"/>
              </w:rPr>
              <w:t xml:space="preserve">for exempt machinery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marking chalk</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air tanks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mops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antifreeze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motor oils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axes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nails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barn cleaner, permanent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office supplies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baskets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oxygen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belt dressing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packing room supplies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bins,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paint and paint sprayers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brooms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pliers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buckets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posthole diggers, hand tool</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building materials* and supplies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brooders,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burlap cleaners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feeders,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cattle feeders,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poultry nests,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cement#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pruning tools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chain saws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pumps for household or lawn use</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cleaning brushes</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radios, unless a replacement part for</w:t>
            </w:r>
            <w:r>
              <w:br/>
            </w:r>
          </w:p>
          <w:p>
            <w:pPr>
              <w:spacing w:before="0" w:after="0"/>
              <w:ind w:left="160"/>
              <w:jc w:val="left"/>
            </w:pPr>
            <w:r>
              <w:rPr>
                <w:rFonts w:ascii="Times New Roman" w:hAnsi="Times New Roman"/>
                <w:b w:val="false"/>
                <w:i w:val="false"/>
                <w:color w:val="000000"/>
                <w:sz w:val="20"/>
              </w:rPr>
              <w:t>exempt machinery</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cleansing agents and materials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refrigerators for home use</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computers (including laptop), for personal use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repair tools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computer software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road maintenance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construction tools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road scraper</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concrete#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roofing</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conveyors,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sanders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cow ties,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scrapers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ear tags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screwdrivers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fence, posts, wire,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shingles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field toilets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shovels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fire prevention equipment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silos</w:t>
            </w:r>
          </w:p>
        </w:tc>
      </w:tr>
      <w:tr>
        <w:trPr>
          <w:trHeight w:val="48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freon</w:t>
            </w:r>
          </w:p>
        </w:tc>
        <w:tc>
          <w:tcPr>
            <w:tcW w:w="576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snow fence, unless portable and used directly</w:t>
            </w:r>
            <w:r>
              <w:br/>
            </w:r>
          </w:p>
          <w:p>
            <w:pPr>
              <w:spacing w:before="0" w:after="0"/>
              <w:ind w:left="160"/>
              <w:jc w:val="left"/>
            </w:pPr>
            <w:r>
              <w:rPr>
                <w:rFonts w:ascii="Times New Roman" w:hAnsi="Times New Roman"/>
                <w:b w:val="false"/>
                <w:i w:val="false"/>
                <w:color w:val="000000"/>
                <w:sz w:val="20"/>
              </w:rPr>
              <w:t>in dairy and livestock production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fuel additives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snow plows and snow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fuel tanks and pumps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space heaters,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garden hoses and rakes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specialized flooring,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glass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sprinklers,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grain tanks, permanent*^</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stalls,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grease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staples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grease guns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stanchions, permanent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hammers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storage tanks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hog rings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tarps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hydraulic fluids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tiling machinery and equipment</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hypodermic syringes, disposable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tractors, garden</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lamps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welders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lanterns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wheel barrows</w:t>
            </w:r>
          </w:p>
        </w:tc>
      </w:tr>
      <w:tr>
        <w:trPr>
          <w:trHeight w:val="25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light bulbs (for household use)</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wrenches</w:t>
            </w:r>
          </w:p>
        </w:tc>
      </w:tr>
      <w:tr>
        <w:trPr>
          <w:trHeight w:val="750"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5"/>
              </w:rPr>
              <w:t>* Contractors and sponsors that purchase building materials, other than grain bin materials, are responsible for paying sales tax to the vendor or supplier or accruing and remitting use tax on those materials.</w:t>
            </w:r>
          </w:p>
          <w:p>
            <w:pPr>
              <w:spacing w:before="0" w:after="0"/>
              <w:ind w:left="160"/>
              <w:jc w:val="left"/>
            </w:pPr>
            <w:r>
              <w:rPr>
                <w:rFonts w:ascii="Times New Roman" w:hAnsi="Times New Roman"/>
                <w:b w:val="false"/>
                <w:i w:val="false"/>
                <w:color w:val="000000"/>
                <w:sz w:val="18"/>
              </w:rPr>
              <w:t>^ Does not include grain bins used to hold loose grain for drying or storage.</w:t>
            </w:r>
          </w:p>
          <w:p>
            <w:pPr>
              <w:spacing w:before="0" w:after="0"/>
              <w:ind w:left="160"/>
              <w:jc w:val="left"/>
            </w:pPr>
            <w:r>
              <w:rPr>
                <w:rFonts w:ascii="Times New Roman" w:hAnsi="Times New Roman"/>
                <w:b w:val="false"/>
                <w:i w:val="false"/>
                <w:color w:val="000000"/>
                <w:sz w:val="18"/>
              </w:rPr>
              <w:t># Does not include cement or concrete used in pads or foundations under grain bins.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423.3(8)</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423.3(11)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701—214.20</w:t>
      </w:r>
      <w:r>
        <w:rPr>
          <w:rFonts w:ascii="Times New Roman" w:hAnsi="Times New Roman"/>
          <w:b/>
          <w:i w:val="false"/>
          <w:color w:val="000000"/>
          <w:sz w:val="22"/>
        </w:rPr>
        <w:t xml:space="preserve">(423) </w:t>
      </w:r>
      <w:r>
        <w:rPr>
          <w:rFonts w:ascii="Times New Roman" w:hAnsi="Times New Roman"/>
          <w:b/>
          <w:i w:val="false"/>
          <w:color w:val="000000"/>
          <w:sz w:val="22"/>
        </w:rPr>
        <w:t xml:space="preserve">Grain bins. </w:t>
      </w:r>
      <w:r>
        <w:rPr>
          <w:rFonts w:ascii="Times New Roman" w:hAnsi="Times New Roman"/>
          <w:b w:val="false"/>
          <w:i w:val="false"/>
          <w:color w:val="000000"/>
          <w:sz w:val="22"/>
        </w:rPr>
        <w:t xml:space="preserve">The Iowa Code exempts from sales and use tax the sales price from the sale of a grain bin, including material or replacement parts used to construct or repair a grain bin. “Grain bin” is defined by Iowa Code section </w:t>
      </w:r>
      <w:hyperlink r:id="rId68">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xml:space="preserve">. Grain bins are real property, and grain bin materials are building materials as that term is used in rule </w:t>
      </w:r>
      <w:hyperlink r:id="rId69">
        <w:r>
          <w:rPr>
            <w:rStyle w:val="Hyperlink"/>
            <w:rFonts w:ascii="Times New Roman" w:hAnsi="Times New Roman"/>
            <w:b w:val="false"/>
            <w:i w:val="false"/>
            <w:color w:val="000000"/>
            <w:sz w:val="22"/>
          </w:rPr>
          <w:t>701—219.3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214.20(1)</w:t>
      </w:r>
      <w:r>
        <w:rPr>
          <w:rFonts w:ascii="Times New Roman" w:hAnsi="Times New Roman"/>
          <w:b w:val="false"/>
          <w:i w:val="false"/>
          <w:color w:val="000000"/>
          <w:sz w:val="22"/>
        </w:rPr>
        <w:t> </w:t>
      </w:r>
      <w:r>
        <w:rPr>
          <w:rFonts w:ascii="Times New Roman" w:hAnsi="Times New Roman"/>
          <w:b w:val="false"/>
          <w:i/>
          <w:color w:val="000000"/>
          <w:sz w:val="22"/>
        </w:rPr>
        <w:t xml:space="preserve">Property considered to be a grain bin or material used to construct a grain bin. </w:t>
      </w:r>
      <w:r>
        <w:rPr>
          <w:rFonts w:ascii="Times New Roman" w:hAnsi="Times New Roman"/>
          <w:b w:val="false"/>
          <w:i w:val="false"/>
          <w:color w:val="000000"/>
          <w:sz w:val="22"/>
        </w:rPr>
        <w:t>In general, materials that are permanently attached to a grain bin and are required to hold loose grain for drying or storage are used to construct a grain bin and thus exempt from sales and use tax. This generally does not include equipment used to move loose grain into or out of a grain bin. The following lists of exempt or taxable property are not exhaustive.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Exempt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Grain bins, including hopper bins.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Corrugated metal or other similar material for the sides or roof of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Steps, ladders, or staircases permanently attached to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Structural support towers for a grain bin or for steps, ladders, or staircases providing access to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Catwalks.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Roof vents permanently attached to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Grain bin flooring and floor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Concrete pad or foundation under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Stirring equipment permanently attached in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Fans permanently attached to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Temperature sensors or temperature cables permanently attached in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Spreaders permanently attached in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Sweeps or augers permanently attached in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Bolts and other builders’ hardware permanently attached to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Controls and devices to operate the above-listed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Motors for the above-listed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Replacement parts for the above-listed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Taxable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Bucket elevators.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Receiving stations, including drag conveyors and dump pits.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Pneumatic or air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Conveyors, including chain conveyors, belt conveyors, and drag conveyors.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Anchors, bin jacks, or other construction equipment used to assemble, construct, repair, or replace a grain bin or part of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Samplers.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Scales or weighers.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that remain tangible personal property and are not permanently attached to a grain bin.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214.20(2)</w:t>
      </w:r>
      <w:r>
        <w:rPr>
          <w:rFonts w:ascii="Times New Roman" w:hAnsi="Times New Roman"/>
          <w:b w:val="false"/>
          <w:i w:val="false"/>
          <w:color w:val="000000"/>
          <w:sz w:val="22"/>
        </w:rPr>
        <w:t> </w:t>
      </w:r>
      <w:r>
        <w:rPr>
          <w:rFonts w:ascii="Times New Roman" w:hAnsi="Times New Roman"/>
          <w:b w:val="false"/>
          <w:i/>
          <w:color w:val="000000"/>
          <w:sz w:val="22"/>
        </w:rPr>
        <w:t xml:space="preserve">Primarily used to hold loose grain for drying or storage. </w:t>
      </w:r>
      <w:r>
        <w:rPr>
          <w:rFonts w:ascii="Times New Roman" w:hAnsi="Times New Roman"/>
          <w:b w:val="false"/>
          <w:i w:val="false"/>
          <w:color w:val="000000"/>
          <w:sz w:val="22"/>
        </w:rPr>
        <w:t>Property is deemed to be “primarily used to hold loose grain for drying or storage” if it is used more than 50 percent of the time to hold loose grain for drying or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214.20(3)</w:t>
      </w:r>
      <w:r>
        <w:rPr>
          <w:rFonts w:ascii="Times New Roman" w:hAnsi="Times New Roman"/>
          <w:b w:val="false"/>
          <w:i w:val="false"/>
          <w:color w:val="000000"/>
          <w:sz w:val="22"/>
        </w:rPr>
        <w:t> </w:t>
      </w:r>
      <w:r>
        <w:rPr>
          <w:rFonts w:ascii="Times New Roman" w:hAnsi="Times New Roman"/>
          <w:b w:val="false"/>
          <w:i/>
          <w:color w:val="000000"/>
          <w:sz w:val="22"/>
        </w:rPr>
        <w:t xml:space="preserve">Claiming the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contractor must provide an exemption certificate to its supplier when purchasing grain bins, grain bin materials, or grain bin replacement parts in order to purchase them free from sales tax. The contractor entering into a construction contract with a sponsor to erect a grain bin or entering into a contract to repair a grain bin must also obtain an exemption certificate from the sponsor of the construction/repair contract to avoid accruing and remitting use tax on the grain bins, grain bin materials, and the grain bin replacement parts that were purchased tax-free from the contractor’s supplier.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contractor must accrue use tax on the purchase price of the grain bins, grain bin materials, and grain bin replacement parts unless the contractor obtains an exemption certificate from the sponsor of the construction or repair contract. If the grain bin materials or replacement parts are not used in an exempt manner or if an exemption certificate is not obtained, it is the contractor’s responsibility to accrue and remit use tax. The contractor must not charge sales tax to the sponsor of a construction or repair contract because those materials and replacement parts remain building materials used in the performance of a construction contract.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Company A is in the business of constructing and repairing grain bins. Company A regularly purchases grain bin materials and replacement parts from its supplier. Company A may provide to its supplier an exemption certificate pursuant to Iowa Code section </w:t>
      </w:r>
      <w:hyperlink r:id="rId70">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xml:space="preserve"> so that the materials and replacement parts are purchased tax-free.</w:t>
      </w:r>
    </w:p>
    <w:p>
      <w:pPr>
        <w:spacing w:before="0" w:after="0"/>
        <w:ind w:left="120"/>
        <w:jc w:val="both"/>
      </w:pPr>
      <w:r>
        <w:rPr>
          <w:rFonts w:ascii="Times New Roman" w:hAnsi="Times New Roman"/>
          <w:b w:val="false"/>
          <w:i w:val="false"/>
          <w:color w:val="000000"/>
          <w:sz w:val="22"/>
        </w:rPr>
        <w:t xml:space="preserve">A person, also known as a sponsor, enters into a construction contract with Company A to construct a grain bin on the sponsor’s property. The sponsor provides an exemption certificate to Company A also pursuant to Iowa Code section </w:t>
      </w:r>
      <w:hyperlink r:id="rId71">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Company A may now fulfill the construction contract without accruing and remitting use tax on the grain bin materials purchased from its supplier tax-free.</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Assume the same facts as in Example 1, except that Company A does not provide an exemption certificate to its supplier when it purchases grain bin materials and replacement parts. The supplier must charge and collect from Company A sales tax on the full sales price of the grain bin materials and replacement parts.</w:t>
      </w:r>
    </w:p>
    <w:p>
      <w:pPr>
        <w:spacing w:before="0" w:after="0"/>
        <w:ind w:left="120"/>
        <w:jc w:val="both"/>
      </w:pPr>
      <w:r>
        <w:rPr>
          <w:rFonts w:ascii="Times New Roman" w:hAnsi="Times New Roman"/>
          <w:b w:val="false"/>
          <w:i w:val="false"/>
          <w:color w:val="000000"/>
          <w:sz w:val="22"/>
        </w:rPr>
        <w:t xml:space="preserve">The sponsor enters into a construction contract with Company A to erect a grain bin. Whether or not the sponsor provides an exemption certificate to Company A pursuant to Iowa Code section </w:t>
      </w:r>
      <w:hyperlink r:id="rId72">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Company A may now fulfill the construction contract without accruing and remitting use tax on the grain bin materials because Company A paid sales tax on the sales price of the grain bin materials when it purchased them from its supplier.</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Assume the same facts as in Example 2. The sponsor enters into a construction contract with Company A to erect a grain bin and provides an exemption certificate to Company A pursuant to Iowa Code section </w:t>
      </w:r>
      <w:hyperlink r:id="rId73">
        <w:r>
          <w:rPr>
            <w:rStyle w:val="Hyperlink"/>
            <w:rFonts w:ascii="Times New Roman" w:hAnsi="Times New Roman"/>
            <w:b w:val="false"/>
            <w:i w:val="false"/>
            <w:color w:val="000000"/>
            <w:sz w:val="22"/>
          </w:rPr>
          <w:t>423.3(16A)</w:t>
        </w:r>
      </w:hyperlink>
      <w:r>
        <w:rPr>
          <w:rFonts w:ascii="Times New Roman" w:hAnsi="Times New Roman"/>
          <w:b w:val="false"/>
          <w:i w:val="false"/>
          <w:color w:val="000000"/>
          <w:sz w:val="22"/>
        </w:rPr>
        <w:t>. Company A may now file a refund claim with the department requesting that the department refund the sales tax that Company A paid to its supplier when it purchased the grain bin materials used in fulfilling the construction contract with the sponsor. Alternatively, Company A may claim a credit on its sales tax return(s) equal to the amount of sales tax paid to its supplier when it purchased the grain bin materials used in fulfilling the construction contract with the sponsor. The burden is on Company A to prove that the building materials for which the credit or refund is claimed were used in erecting a grain bin.</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Assume the same facts as in Example 1, except that the sponsor does not provide an exemption certificate to Company A. Company A must now accrue and remit use tax on the cost of the materials used in fulfilling this construction contract.</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Assume the same facts as in Example 1, except that the sponsor enters into a construction contract with Company A for the construction of a structure that is not a grain bin. Company A uses the materials that it had purchased tax-free from its supplier to fulfill this contract. Company A must now accrue and remit use tax on the cost of the materials used in fulfilling this construction contract.</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Assume the same facts as in Example 1, except that the sponsor enters into a contract with Company A for the repair of a structure that is not a grain bin. Company A uses the materials that it had purchased tax-free from its supplier to fulfill this contract. When invoicing the sponsor, Company A must separately itemize the materials and the labor charges incurred in fulfilling this repair contract, and the sales price of the materials included on the invoice must include any mark-up. Company A is obligated to charge and collect sales tax on the materials and labor charges listed on the invoice.</w:t>
      </w:r>
    </w:p>
    <w:p>
      <w:pPr>
        <w:spacing w:before="0" w:after="0"/>
        <w:ind w:left="120"/>
        <w:jc w:val="both"/>
      </w:pPr>
      <w:r>
        <w:rPr>
          <w:rFonts w:ascii="Times New Roman" w:hAnsi="Times New Roman"/>
          <w:b w:val="false"/>
          <w:i w:val="false"/>
          <w:color w:val="000000"/>
          <w:sz w:val="22"/>
        </w:rPr>
        <w:t>EXAMPLE 7:</w:t>
      </w:r>
      <w:r>
        <w:rPr>
          <w:rFonts w:ascii="Times New Roman" w:hAnsi="Times New Roman"/>
          <w:b w:val="false"/>
          <w:i w:val="false"/>
          <w:color w:val="000000"/>
          <w:sz w:val="22"/>
        </w:rPr>
        <w:t xml:space="preserve"> Assume the same facts as in Example 1 except that, in addition to constructing the grain bin, the contractor provides and installs property, such as portable equipment, that remains tangible personal property after installation. As with the grain bin, grain bin materials, and grain bin replacement parts, the contractor purchases the portable equipment tax-free, not because it is exempt under this subrule, but because it is a purchase for resale. Unless the portable equipment qualifies for another exemption (such as in rule </w:t>
      </w:r>
      <w:hyperlink r:id="rId74">
        <w:r>
          <w:rPr>
            <w:rStyle w:val="Hyperlink"/>
            <w:rFonts w:ascii="Times New Roman" w:hAnsi="Times New Roman"/>
            <w:b w:val="false"/>
            <w:i w:val="false"/>
            <w:color w:val="000000"/>
            <w:sz w:val="22"/>
          </w:rPr>
          <w:t>701—214.1(423)</w:t>
        </w:r>
      </w:hyperlink>
      <w:r>
        <w:rPr>
          <w:rFonts w:ascii="Times New Roman" w:hAnsi="Times New Roman"/>
          <w:b w:val="false"/>
          <w:i w:val="false"/>
          <w:color w:val="000000"/>
          <w:sz w:val="22"/>
        </w:rPr>
        <w:t>), even if the contractor obtains an exemption certificate from the sponsor for the grain bin, grain bin materials, and replacement parts, the contractor must charge sales tax to the sponsor because the portable equipment remains tangible personal property and the contractor sells that equipment to the sponsor at retail.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701—214.21</w:t>
      </w:r>
      <w:r>
        <w:rPr>
          <w:rFonts w:ascii="Times New Roman" w:hAnsi="Times New Roman"/>
          <w:b/>
          <w:i w:val="false"/>
          <w:color w:val="000000"/>
          <w:sz w:val="22"/>
        </w:rPr>
        <w:t xml:space="preserve">(423) </w:t>
      </w:r>
      <w:r>
        <w:rPr>
          <w:rFonts w:ascii="Times New Roman" w:hAnsi="Times New Roman"/>
          <w:b/>
          <w:i w:val="false"/>
          <w:color w:val="000000"/>
          <w:sz w:val="22"/>
        </w:rPr>
        <w:t xml:space="preserve">Warehousing of raw agricultural products.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sales price on the warehousing of raw agricultural products is subject to sales tax unless the warehousing of raw agricultural products is storage in transit and has a destination outside of Iowa, regardless of whether the raw agricultural products originated within or outside of Iowa. Because the tax imposed by Iowa Code section </w:t>
      </w:r>
      <w:hyperlink r:id="rId7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“ax”</w:t>
      </w:r>
      <w:r>
        <w:rPr>
          <w:rFonts w:ascii="Times New Roman" w:hAnsi="Times New Roman"/>
          <w:b w:val="false"/>
          <w:i w:val="false"/>
          <w:color w:val="000000"/>
          <w:sz w:val="22"/>
        </w:rPr>
        <w:t xml:space="preserve"> is imposed on the warehousing and not the sale of raw agricultural products, the interstate commerce exceptions found in Iowa Code section </w:t>
      </w:r>
      <w:hyperlink r:id="rId77">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“Raw agricultural products” </w:t>
      </w:r>
      <w:r>
        <w:rPr>
          <w:rFonts w:ascii="Times New Roman" w:hAnsi="Times New Roman"/>
          <w:b w:val="false"/>
          <w:i w:val="false"/>
          <w:color w:val="000000"/>
          <w:sz w:val="22"/>
        </w:rPr>
        <w:t>includes but is not limited to corn, beans, oats, milo, fruits, vegetables, animal semen, and like items that have not been subjected to any form of processing. For purposes of this rule, grain drying is not considered processing.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214.21(3)</w:t>
      </w:r>
      <w:r>
        <w:rPr>
          <w:rFonts w:ascii="Times New Roman" w:hAnsi="Times New Roman"/>
          <w:b w:val="false"/>
          <w:i w:val="false"/>
          <w:color w:val="000000"/>
          <w:sz w:val="22"/>
        </w:rPr>
        <w:t> </w:t>
      </w:r>
      <w:r>
        <w:rPr>
          <w:rFonts w:ascii="Times New Roman" w:hAnsi="Times New Roman"/>
          <w:b w:val="false"/>
          <w:i/>
          <w:color w:val="000000"/>
          <w:sz w:val="22"/>
        </w:rPr>
        <w:t xml:space="preserve">Other charges. </w:t>
      </w:r>
      <w:r>
        <w:rPr>
          <w:rFonts w:ascii="Times New Roman" w:hAnsi="Times New Roman"/>
          <w:b w:val="false"/>
          <w:i w:val="false"/>
          <w:color w:val="000000"/>
          <w:sz w:val="22"/>
        </w:rPr>
        <w:t xml:space="preserve">Other charges relating to warehousing of raw agricultural products may be subject to sales tax when separately invoiced. </w:t>
      </w:r>
      <w:hyperlink r:id="rId78">
        <w:r>
          <w:rPr>
            <w:rStyle w:val="Hyperlink"/>
            <w:rFonts w:ascii="Times New Roman" w:hAnsi="Times New Roman"/>
            <w:b w:val="false"/>
            <w:i w:val="false"/>
            <w:color w:val="000000"/>
            <w:sz w:val="22"/>
          </w:rPr>
          <w:t>701—Chapter 206</w:t>
        </w:r>
      </w:hyperlink>
      <w:r>
        <w:rPr>
          <w:rFonts w:ascii="Times New Roman" w:hAnsi="Times New Roman"/>
          <w:b w:val="false"/>
          <w:i w:val="false"/>
          <w:color w:val="000000"/>
          <w:sz w:val="22"/>
        </w:rPr>
        <w:t xml:space="preserve"> contains more information about bundled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214.21(4)</w:t>
      </w:r>
      <w:r>
        <w:rPr>
          <w:rFonts w:ascii="Times New Roman" w:hAnsi="Times New Roman"/>
          <w:b w:val="false"/>
          <w:i w:val="false"/>
          <w:color w:val="000000"/>
          <w:sz w:val="22"/>
        </w:rPr>
        <w:t> </w:t>
      </w:r>
      <w:r>
        <w:rPr>
          <w:rFonts w:ascii="Times New Roman" w:hAnsi="Times New Roman"/>
          <w:b w:val="false"/>
          <w:i/>
          <w:color w:val="000000"/>
          <w:sz w:val="22"/>
        </w:rPr>
        <w:t xml:space="preserve">Transit warehouses. </w:t>
      </w:r>
      <w:r>
        <w:rPr>
          <w:rFonts w:ascii="Times New Roman" w:hAnsi="Times New Roman"/>
          <w:b w:val="false"/>
          <w:i w:val="false"/>
          <w:color w:val="000000"/>
          <w:sz w:val="22"/>
        </w:rPr>
        <w:t>The warehousing of raw agricultural products to be delivered within Iowa is subject to sales tax, while the warehousing of those products placed into interstate commerce is not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Formula. </w:t>
      </w:r>
      <w:r>
        <w:rPr>
          <w:rFonts w:ascii="Times New Roman" w:hAnsi="Times New Roman"/>
          <w:b w:val="false"/>
          <w:i w:val="false"/>
          <w:color w:val="000000"/>
          <w:sz w:val="22"/>
        </w:rPr>
        <w:t>Transit warehouses may compute the tax on warehousing fees based upon a formula consisting of a numerator that is the quantity of raw agricultural products housed at the warehouse with intended intrastate delivery in Iowa and a denominator that is the total quantity of raw agricultural products housed in the warehouse.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“Transit warehouses” </w:t>
      </w:r>
      <w:r>
        <w:rPr>
          <w:rFonts w:ascii="Times New Roman" w:hAnsi="Times New Roman"/>
          <w:b w:val="false"/>
          <w:i w:val="false"/>
          <w:color w:val="000000"/>
          <w:sz w:val="22"/>
        </w:rPr>
        <w:t>are those warehouses where raw agricultural products in bulk quantities are transported to and then shipped to different locations at different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Numerator. </w:t>
      </w:r>
      <w:r>
        <w:rPr>
          <w:rFonts w:ascii="Times New Roman" w:hAnsi="Times New Roman"/>
          <w:b w:val="false"/>
          <w:i w:val="false"/>
          <w:color w:val="000000"/>
          <w:sz w:val="22"/>
        </w:rPr>
        <w:t>Raw agricultural products picked up at the warehouse or delivered to a location in Iowa must be included in the numerator, even if the products may be or are subsequently delivered to a common carrier for shipment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Information used to calculate tax. </w:t>
      </w:r>
      <w:r>
        <w:rPr>
          <w:rFonts w:ascii="Times New Roman" w:hAnsi="Times New Roman"/>
          <w:b w:val="false"/>
          <w:i w:val="false"/>
          <w:color w:val="000000"/>
          <w:sz w:val="22"/>
        </w:rPr>
        <w:t>The information used in the formula for the computation of tax on storage fees must be, in most cases, supplied by the principal storing the products in the warehouse. The warehouse is responsible for acquiring and verifying the information used in the formula with the principal at least once every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214.21(5)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Warehousing service will not be subject to sales tax if a contract for the warehousing of raw agricultural products is with a tax-certifying or tax-levying body of the state of Iowa; any instrumentality of the state, county, or municipal government; the federal government or its instrumentalities; a tribal government as defined in Iowa Code section </w:t>
      </w:r>
      <w:hyperlink r:id="rId79">
        <w:r>
          <w:rPr>
            <w:rStyle w:val="Hyperlink"/>
            <w:rFonts w:ascii="Times New Roman" w:hAnsi="Times New Roman"/>
            <w:b w:val="false"/>
            <w:i w:val="false"/>
            <w:color w:val="000000"/>
            <w:sz w:val="22"/>
          </w:rPr>
          <w:t>216A.161</w:t>
        </w:r>
      </w:hyperlink>
      <w:r>
        <w:rPr>
          <w:rFonts w:ascii="Times New Roman" w:hAnsi="Times New Roman"/>
          <w:b w:val="false"/>
          <w:i w:val="false"/>
          <w:color w:val="000000"/>
          <w:sz w:val="22"/>
        </w:rPr>
        <w:t>; or an agency or instrumentality of a tribal government if used for public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Consignment to federal government. </w:t>
      </w:r>
      <w:r>
        <w:rPr>
          <w:rFonts w:ascii="Times New Roman" w:hAnsi="Times New Roman"/>
          <w:b w:val="false"/>
          <w:i w:val="false"/>
          <w:color w:val="000000"/>
          <w:sz w:val="22"/>
        </w:rPr>
        <w:t>Fees for the warehousing of raw agricultural products placed into storage by a producer that are later consigned to the federal government under a loan agreement are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Federal government activity. </w:t>
      </w:r>
      <w:r>
        <w:rPr>
          <w:rFonts w:ascii="Times New Roman" w:hAnsi="Times New Roman"/>
          <w:b w:val="false"/>
          <w:i w:val="false"/>
          <w:color w:val="000000"/>
          <w:sz w:val="22"/>
        </w:rPr>
        <w:t>Warehousing of raw agricultural products is exempt from sales tax only if the federal government makes payment to the warehouse for warehousing and the federal government actually owns the products or goods during the time the products or goods are warehoused.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“ax”</w:t>
      </w:r>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423.3(31)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7870B</w:t>
      </w:r>
      <w:r>
        <w:rPr>
          <w:rFonts w:ascii="Times New Roman" w:hAnsi="Times New Roman"/>
          <w:b w:val="false"/>
          <w:i w:val="false"/>
          <w:color w:val="000000"/>
          <w:sz w:val="21"/>
        </w:rPr>
        <w:t xml:space="preserve"> (Notice ARC 7725B, IAB 4/22/09)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0466C</w:t>
      </w:r>
      <w:r>
        <w:rPr>
          <w:rFonts w:ascii="Times New Roman" w:hAnsi="Times New Roman"/>
          <w:b w:val="false"/>
          <w:i w:val="false"/>
          <w:color w:val="000000"/>
          <w:sz w:val="21"/>
        </w:rPr>
        <w:t xml:space="preserve"> (Notice ARC 0379C, IAB 10/3/12)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4117C</w:t>
      </w:r>
      <w:r>
        <w:rPr>
          <w:rFonts w:ascii="Times New Roman" w:hAnsi="Times New Roman"/>
          <w:b w:val="false"/>
          <w:i w:val="false"/>
          <w:color w:val="000000"/>
          <w:sz w:val="21"/>
        </w:rPr>
        <w:t xml:space="preserve"> (Notice ARC 3886C, IAB 7/18/18; </w:t>
      </w:r>
      <w:r>
        <w:rPr>
          <w:rFonts w:ascii="Times New Roman" w:hAnsi="Times New Roman"/>
          <w:b w:val="false"/>
          <w:i w:val="false"/>
          <w:color w:val="000000"/>
          <w:sz w:val="21"/>
        </w:rPr>
        <w:t>Amended Notice ARC 4003C, IAB 9/12/18)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5098C</w:t>
      </w:r>
      <w:r>
        <w:rPr>
          <w:rFonts w:ascii="Times New Roman" w:hAnsi="Times New Roman"/>
          <w:b w:val="false"/>
          <w:i w:val="false"/>
          <w:color w:val="000000"/>
          <w:sz w:val="21"/>
        </w:rPr>
        <w:t xml:space="preserve"> (Notice ARC 4915C, IAB 2/12/20)</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5309C</w:t>
      </w:r>
      <w:r>
        <w:rPr>
          <w:rFonts w:ascii="Times New Roman" w:hAnsi="Times New Roman"/>
          <w:b w:val="false"/>
          <w:i w:val="false"/>
          <w:color w:val="000000"/>
          <w:sz w:val="21"/>
        </w:rPr>
        <w:t xml:space="preserve"> (Notice ARC 5218C, IAB 10/7/20)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8159C</w:t>
      </w:r>
      <w:r>
        <w:rPr>
          <w:rFonts w:ascii="Times New Roman" w:hAnsi="Times New Roman"/>
          <w:b w:val="false"/>
          <w:i w:val="false"/>
          <w:color w:val="000000"/>
          <w:sz w:val="21"/>
        </w:rPr>
        <w:t xml:space="preserve"> (Notice ARC 7174C,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214.1.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ac/rule/701.214.1.pdf" Type="http://schemas.openxmlformats.org/officeDocument/2006/relationships/hyperlink" Id="rId7"/>
    <Relationship TargetMode="External" Target="https://www.legis.iowa.gov/docs/iac/rule/701.200.1.pdf" Type="http://schemas.openxmlformats.org/officeDocument/2006/relationships/hyperlink" Id="rId8"/>
    <Relationship TargetMode="External" Target="https://www.legis.iowa.gov/docs/ico/chapter/423.3.pdf" Type="http://schemas.openxmlformats.org/officeDocument/2006/relationships/hyperlink" Id="rId9"/>
    <Relationship TargetMode="External" Target="https://www.legis.iowa.gov/docs/ico/chapter/423.3.pdf" Type="http://schemas.openxmlformats.org/officeDocument/2006/relationships/hyperlink" Id="rId10"/>
    <Relationship TargetMode="External" Target="https://www.legis.iowa.gov/docs/ico/chapter/423.2.pdf" Type="http://schemas.openxmlformats.org/officeDocument/2006/relationships/hyperlink" Id="rId11"/>
    <Relationship TargetMode="External" Target="https://www.legis.iowa.gov/docs/iac/rule/701.200.1.pdf" Type="http://schemas.openxmlformats.org/officeDocument/2006/relationships/hyperlink" Id="rId12"/>
    <Relationship TargetMode="External" Target="https://www.legis.iowa.gov/docs/ico/chapter/423.3.pdf" Type="http://schemas.openxmlformats.org/officeDocument/2006/relationships/hyperlink" Id="rId13"/>
    <Relationship TargetMode="External" Target="https://www.legis.iowa.gov/docs/ico/chapter/423.3.pdf" Type="http://schemas.openxmlformats.org/officeDocument/2006/relationships/hyperlink" Id="rId14"/>
    <Relationship TargetMode="External" Target="https://www.legis.iowa.gov/docs/ico/chapter/423.3.pdf" Type="http://schemas.openxmlformats.org/officeDocument/2006/relationships/hyperlink" Id="rId15"/>
    <Relationship TargetMode="External" Target="https://www.legis.iowa.gov/docs/iac/rule/701.214.17.pdf" Type="http://schemas.openxmlformats.org/officeDocument/2006/relationships/hyperlink" Id="rId16"/>
    <Relationship TargetMode="External" Target="https://www.legis.iowa.gov/docs/ico/chapter/423.3.pdf" Type="http://schemas.openxmlformats.org/officeDocument/2006/relationships/hyperlink" Id="rId17"/>
    <Relationship TargetMode="External" Target="https://www.legis.iowa.gov/docs/iac/rule/701.200.1.pdf" Type="http://schemas.openxmlformats.org/officeDocument/2006/relationships/hyperlink" Id="rId18"/>
    <Relationship TargetMode="External" Target="https://www.legis.iowa.gov/docs/ico/chapter/423.3.pdf" Type="http://schemas.openxmlformats.org/officeDocument/2006/relationships/hyperlink" Id="rId19"/>
    <Relationship TargetMode="External" Target="https://www.legis.iowa.gov/docs/ico/chapter/423.3.pdf" Type="http://schemas.openxmlformats.org/officeDocument/2006/relationships/hyperlink" Id="rId20"/>
    <Relationship TargetMode="External" Target="https://www.legis.iowa.gov/docs/iac/rule/701.200.1.pdf" Type="http://schemas.openxmlformats.org/officeDocument/2006/relationships/hyperlink" Id="rId21"/>
    <Relationship TargetMode="External" Target="https://www.legis.iowa.gov/docs/ico/chapter/423.3.pdf" Type="http://schemas.openxmlformats.org/officeDocument/2006/relationships/hyperlink" Id="rId22"/>
    <Relationship TargetMode="External" Target="https://www.legis.iowa.gov/docs/iac/rule/701.200.1.pdf" Type="http://schemas.openxmlformats.org/officeDocument/2006/relationships/hyperlink" Id="rId23"/>
    <Relationship TargetMode="External" Target="https://www.legis.iowa.gov/docs/ico/chapter/423.3.pdf" Type="http://schemas.openxmlformats.org/officeDocument/2006/relationships/hyperlink" Id="rId24"/>
    <Relationship TargetMode="External" Target="https://www.legis.iowa.gov/docs/iac/rule/701.200.1.pdf" Type="http://schemas.openxmlformats.org/officeDocument/2006/relationships/hyperlink" Id="rId25"/>
    <Relationship TargetMode="External" Target="https://www.legis.iowa.gov/docs/iac/rule/701.200.1.pdf" Type="http://schemas.openxmlformats.org/officeDocument/2006/relationships/hyperlink" Id="rId26"/>
    <Relationship TargetMode="External" Target="https://www.legis.iowa.gov/docs/iac/rule/701.200.1.pdf" Type="http://schemas.openxmlformats.org/officeDocument/2006/relationships/hyperlink" Id="rId27"/>
    <Relationship TargetMode="External" Target="https://www.legis.iowa.gov/docs/ico/chapter/423.3.pdf" Type="http://schemas.openxmlformats.org/officeDocument/2006/relationships/hyperlink" Id="rId28"/>
    <Relationship TargetMode="External" Target="https://www.legis.iowa.gov/docs/ico/chapter/423.3.pdf" Type="http://schemas.openxmlformats.org/officeDocument/2006/relationships/hyperlink" Id="rId29"/>
    <Relationship TargetMode="External" Target="https://www.legis.iowa.gov/docs/ico/chapter/423.2.pdf" Type="http://schemas.openxmlformats.org/officeDocument/2006/relationships/hyperlink" Id="rId30"/>
    <Relationship TargetMode="External" Target="https://www.legis.iowa.gov/docs/ico/chapter/423.3.pdf" Type="http://schemas.openxmlformats.org/officeDocument/2006/relationships/hyperlink" Id="rId31"/>
    <Relationship TargetMode="External" Target="https://www.legis.iowa.gov/docs/ico/chapter/423.3.pdf" Type="http://schemas.openxmlformats.org/officeDocument/2006/relationships/hyperlink" Id="rId32"/>
    <Relationship TargetMode="External" Target="https://www.legis.iowa.gov/docs/iac/rule/701.200.1.pdf" Type="http://schemas.openxmlformats.org/officeDocument/2006/relationships/hyperlink" Id="rId33"/>
    <Relationship TargetMode="External" Target="https://www.legis.iowa.gov/docs/iac/rule/701.214.1.pdf" Type="http://schemas.openxmlformats.org/officeDocument/2006/relationships/hyperlink" Id="rId34"/>
    <Relationship TargetMode="External" Target="https://www.legis.iowa.gov/docs/iac/rule/701.200.1.pdf" Type="http://schemas.openxmlformats.org/officeDocument/2006/relationships/hyperlink" Id="rId35"/>
    <Relationship TargetMode="External" Target="https://www.legis.iowa.gov/docs/iac/rule/701.214.12.pdf" Type="http://schemas.openxmlformats.org/officeDocument/2006/relationships/hyperlink" Id="rId36"/>
    <Relationship TargetMode="External" Target="https://www.legis.iowa.gov/docs/iac/rule/701.214.18.pdf" Type="http://schemas.openxmlformats.org/officeDocument/2006/relationships/hyperlink" Id="rId37"/>
    <Relationship TargetMode="External" Target="https://www.legis.iowa.gov/docs/ico/chapter/423.3.pdf" Type="http://schemas.openxmlformats.org/officeDocument/2006/relationships/hyperlink" Id="rId38"/>
    <Relationship TargetMode="External" Target="https://www.legis.iowa.gov/docs/ico/chapter/423.3.pdf" Type="http://schemas.openxmlformats.org/officeDocument/2006/relationships/hyperlink" Id="rId39"/>
    <Relationship TargetMode="External" Target="https://www.legis.iowa.gov/docs/iac/rule/701.214.7.pdf" Type="http://schemas.openxmlformats.org/officeDocument/2006/relationships/hyperlink" Id="rId40"/>
    <Relationship TargetMode="External" Target="https://www.legis.iowa.gov/docs/ico/chapter/423.2.pdf" Type="http://schemas.openxmlformats.org/officeDocument/2006/relationships/hyperlink" Id="rId41"/>
    <Relationship TargetMode="External" Target="https://www.legis.iowa.gov/docs/ico/chapter/423.3.pdf" Type="http://schemas.openxmlformats.org/officeDocument/2006/relationships/hyperlink" Id="rId42"/>
    <Relationship TargetMode="External" Target="https://www.legis.iowa.gov/docs/ico/chapter/423.3.pdf" Type="http://schemas.openxmlformats.org/officeDocument/2006/relationships/hyperlink" Id="rId43"/>
    <Relationship TargetMode="External" Target="https://www.legis.iowa.gov/docs/ico/chapter/423.3.pdf" Type="http://schemas.openxmlformats.org/officeDocument/2006/relationships/hyperlink" Id="rId44"/>
    <Relationship TargetMode="External" Target="https://www.legis.iowa.gov/docs/ico/chapter/423.3.pdf" Type="http://schemas.openxmlformats.org/officeDocument/2006/relationships/hyperlink" Id="rId45"/>
    <Relationship TargetMode="External" Target="https://www.legis.iowa.gov/docs/ico/chapter/423.3.pdf" Type="http://schemas.openxmlformats.org/officeDocument/2006/relationships/hyperlink" Id="rId46"/>
    <Relationship TargetMode="External" Target="https://www.legis.iowa.gov/docs/iac/rule/701.219.3.pdf" Type="http://schemas.openxmlformats.org/officeDocument/2006/relationships/hyperlink" Id="rId47"/>
    <Relationship TargetMode="External" Target="https://www.legis.iowa.gov/docs/iac/rule/701.214.19.pdf" Type="http://schemas.openxmlformats.org/officeDocument/2006/relationships/hyperlink" Id="rId48"/>
    <Relationship TargetMode="External" Target="https://www.legis.iowa.gov/docs/iac/rule/701.214.17.pdf" Type="http://schemas.openxmlformats.org/officeDocument/2006/relationships/hyperlink" Id="rId49"/>
    <Relationship TargetMode="External" Target="https://www.legis.iowa.gov/docs/iac/rule/701.214.1.pdf" Type="http://schemas.openxmlformats.org/officeDocument/2006/relationships/hyperlink" Id="rId50"/>
    <Relationship TargetMode="External" Target="https://www.legis.iowa.gov/docs/ico/chapter/423.3.pdf" Type="http://schemas.openxmlformats.org/officeDocument/2006/relationships/hyperlink" Id="rId51"/>
    <Relationship TargetMode="External" Target="https://www.legis.iowa.gov/docs/ico/chapter/423.3.pdf" Type="http://schemas.openxmlformats.org/officeDocument/2006/relationships/hyperlink" Id="rId52"/>
    <Relationship TargetMode="External" Target="https://www.legis.iowa.gov/docs/iac/rule/701.219.3.pdf" Type="http://schemas.openxmlformats.org/officeDocument/2006/relationships/hyperlink" Id="rId53"/>
    <Relationship TargetMode="External" Target="https://www.legis.iowa.gov/docs/iac/rule/701.214.19.pdf" Type="http://schemas.openxmlformats.org/officeDocument/2006/relationships/hyperlink" Id="rId54"/>
    <Relationship TargetMode="External" Target="https://www.legis.iowa.gov/docs/iac/rule/701.214.18.pdf" Type="http://schemas.openxmlformats.org/officeDocument/2006/relationships/hyperlink" Id="rId55"/>
    <Relationship TargetMode="External" Target="https://www.legis.iowa.gov/docs/iac/rule/701.214.1.pdf" Type="http://schemas.openxmlformats.org/officeDocument/2006/relationships/hyperlink" Id="rId56"/>
    <Relationship TargetMode="External" Target="https://www.legis.iowa.gov/docs/iac/rule/701.214.19.pdf" Type="http://schemas.openxmlformats.org/officeDocument/2006/relationships/hyperlink" Id="rId57"/>
    <Relationship TargetMode="External" Target="https://www.legis.iowa.gov/docs/iac/rule/701.214.19.pdf" Type="http://schemas.openxmlformats.org/officeDocument/2006/relationships/hyperlink" Id="rId58"/>
    <Relationship TargetMode="External" Target="https://www.legis.iowa.gov/docs/iac/rule/701.214.12.pdf" Type="http://schemas.openxmlformats.org/officeDocument/2006/relationships/hyperlink" Id="rId59"/>
    <Relationship TargetMode="External" Target="https://www.legis.iowa.gov/docs/iac/rule/701.214.9.pdf" Type="http://schemas.openxmlformats.org/officeDocument/2006/relationships/hyperlink" Id="rId60"/>
    <Relationship TargetMode="External" Target="https://www.legis.iowa.gov/docs/ico/chapter/423.3.pdf" Type="http://schemas.openxmlformats.org/officeDocument/2006/relationships/hyperlink" Id="rId61"/>
    <Relationship TargetMode="External" Target="https://www.legis.iowa.gov/docs/ico/chapter/423.3.pdf" Type="http://schemas.openxmlformats.org/officeDocument/2006/relationships/hyperlink" Id="rId62"/>
    <Relationship TargetMode="External" Target="https://www.legis.iowa.gov/docs/ico/chapter/4.1.pdf" Type="http://schemas.openxmlformats.org/officeDocument/2006/relationships/hyperlink" Id="rId63"/>
    <Relationship TargetMode="External" Target="https://www.legis.iowa.gov/docs/iac/chapter/701.219.pdf" Type="http://schemas.openxmlformats.org/officeDocument/2006/relationships/hyperlink" Id="rId64"/>
    <Relationship TargetMode="External" Target="https://www.legis.iowa.gov/docs/ico/chapter/423.3.pdf" Type="http://schemas.openxmlformats.org/officeDocument/2006/relationships/hyperlink" Id="rId65"/>
    <Relationship TargetMode="External" Target="https://www.legis.iowa.gov/docs/ico/chapter/423.3.pdf" Type="http://schemas.openxmlformats.org/officeDocument/2006/relationships/hyperlink" Id="rId66"/>
    <Relationship TargetMode="External" Target="https://www.legis.iowa.gov/docs/ico/chapter/423.3.pdf" Type="http://schemas.openxmlformats.org/officeDocument/2006/relationships/hyperlink" Id="rId67"/>
    <Relationship TargetMode="External" Target="https://www.legis.iowa.gov/docs/ico/chapter/423.3.pdf" Type="http://schemas.openxmlformats.org/officeDocument/2006/relationships/hyperlink" Id="rId68"/>
    <Relationship TargetMode="External" Target="https://www.legis.iowa.gov/docs/iac/rule/701.219.3.pdf" Type="http://schemas.openxmlformats.org/officeDocument/2006/relationships/hyperlink" Id="rId69"/>
    <Relationship TargetMode="External" Target="https://www.legis.iowa.gov/docs/ico/chapter/423.3.pdf" Type="http://schemas.openxmlformats.org/officeDocument/2006/relationships/hyperlink" Id="rId70"/>
    <Relationship TargetMode="External" Target="https://www.legis.iowa.gov/docs/ico/chapter/423.3.pdf" Type="http://schemas.openxmlformats.org/officeDocument/2006/relationships/hyperlink" Id="rId71"/>
    <Relationship TargetMode="External" Target="https://www.legis.iowa.gov/docs/ico/chapter/423.3.pdf" Type="http://schemas.openxmlformats.org/officeDocument/2006/relationships/hyperlink" Id="rId72"/>
    <Relationship TargetMode="External" Target="https://www.legis.iowa.gov/docs/ico/chapter/423.3.pdf" Type="http://schemas.openxmlformats.org/officeDocument/2006/relationships/hyperlink" Id="rId73"/>
    <Relationship TargetMode="External" Target="https://www.legis.iowa.gov/docs/iac/rule/701.214.1.pdf" Type="http://schemas.openxmlformats.org/officeDocument/2006/relationships/hyperlink" Id="rId74"/>
    <Relationship TargetMode="External" Target="https://www.legis.iowa.gov/docs/ico/chapter/423.3.pdf" Type="http://schemas.openxmlformats.org/officeDocument/2006/relationships/hyperlink" Id="rId75"/>
    <Relationship TargetMode="External" Target="https://www.legis.iowa.gov/docs/ico/chapter/423.2.pdf" Type="http://schemas.openxmlformats.org/officeDocument/2006/relationships/hyperlink" Id="rId76"/>
    <Relationship TargetMode="External" Target="https://www.legis.iowa.gov/docs/ico/chapter/423.3.pdf" Type="http://schemas.openxmlformats.org/officeDocument/2006/relationships/hyperlink" Id="rId77"/>
    <Relationship TargetMode="External" Target="https://www.legis.iowa.gov/docs/iac/chapter/701.206.pdf" Type="http://schemas.openxmlformats.org/officeDocument/2006/relationships/hyperlink" Id="rId78"/>
    <Relationship TargetMode="External" Target="https://www.legis.iowa.gov/docs/ico/chapter/216A.161.pdf" Type="http://schemas.openxmlformats.org/officeDocument/2006/relationships/hyperlink" Id="rId79"/>
    <Relationship TargetMode="External" Target="https://www.legis.iowa.gov/docs/ico/chapter/423.2.pdf" Type="http://schemas.openxmlformats.org/officeDocument/2006/relationships/hyperlink" Id="rId80"/>
    <Relationship TargetMode="External" Target="https://www.legis.iowa.gov/docs/ico/chapter/423.3.pdf" Type="http://schemas.openxmlformats.org/officeDocument/2006/relationships/hyperlink" Id="rId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