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w:t>
      </w:r>
    </w:p>
    <w:p>
      <w:pPr>
        <w:spacing w:before="0" w:after="0"/>
        <w:ind w:left="120"/>
        <w:jc w:val="center"/>
      </w:pPr>
      <w:r>
        <w:rPr>
          <w:rFonts w:ascii="Times New Roman" w:hAnsi="Times New Roman"/>
          <w:b w:val="false"/>
          <w:i w:val="false"/>
          <w:color w:val="000000"/>
          <w:sz w:val="21"/>
        </w:rPr>
        <w:t>BUNDLED TRANSACTIONS</w:t>
      </w:r>
    </w:p>
    <w:p>
      <w:pPr>
        <w:spacing w:before="0" w:after="0"/>
        <w:ind w:left="120"/>
        <w:jc w:val="center"/>
      </w:pPr>
      <w:r>
        <w:rPr>
          <w:rFonts w:ascii="Times New Roman" w:hAnsi="Times New Roman"/>
          <w:b w:val="false"/>
          <w:i w:val="false"/>
          <w:color w:val="000000"/>
          <w:sz w:val="14"/>
        </w:rPr>
        <w:t>[Prior to 9/7/22, see Revenue Department[701] Ch 216]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701—206.1</w:t>
      </w:r>
      <w:r>
        <w:rPr>
          <w:rFonts w:ascii="Times New Roman" w:hAnsi="Times New Roman"/>
          <w:b/>
          <w:i w:val="false"/>
          <w:color w:val="000000"/>
          <w:sz w:val="22"/>
        </w:rPr>
        <w:t xml:space="preserve">(423) </w:t>
      </w:r>
      <w:r>
        <w:rPr>
          <w:rFonts w:ascii="Times New Roman" w:hAnsi="Times New Roman"/>
          <w:b/>
          <w:i w:val="false"/>
          <w:color w:val="000000"/>
          <w:sz w:val="22"/>
        </w:rPr>
        <w:t xml:space="preserve">Taxability of bundled transactions. </w:t>
      </w:r>
      <w:r>
        <w:rPr>
          <w:rFonts w:ascii="Times New Roman" w:hAnsi="Times New Roman"/>
          <w:b w:val="false"/>
          <w:i w:val="false"/>
          <w:color w:val="000000"/>
          <w:sz w:val="22"/>
        </w:rPr>
        <w:t>The sales price of a bundled transaction is subject to tax. For purposes of this rule, products include tangible personal property, services, and specified digital products and exclude real property and services to real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701—206.2</w:t>
      </w:r>
      <w:r>
        <w:rPr>
          <w:rFonts w:ascii="Times New Roman" w:hAnsi="Times New Roman"/>
          <w:b/>
          <w:i w:val="false"/>
          <w:color w:val="000000"/>
          <w:sz w:val="22"/>
        </w:rPr>
        <w:t xml:space="preserve">(423) </w:t>
      </w:r>
      <w:r>
        <w:rPr>
          <w:rFonts w:ascii="Times New Roman" w:hAnsi="Times New Roman"/>
          <w:b/>
          <w:i w:val="false"/>
          <w:color w:val="000000"/>
          <w:sz w:val="22"/>
        </w:rPr>
        <w:t xml:space="preserve">Bundled transaction. </w:t>
      </w:r>
      <w:r>
        <w:rPr>
          <w:rFonts w:ascii="Times New Roman" w:hAnsi="Times New Roman"/>
          <w:b w:val="false"/>
          <w:i w:val="false"/>
          <w:color w:val="000000"/>
          <w:sz w:val="22"/>
        </w:rPr>
        <w:t>A “bundled transaction” is the retail sale of two or more products where the products are otherwise distinct and identifiable and the products are sold for one nonitemized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206.2(1)</w:t>
      </w:r>
      <w:r>
        <w:rPr>
          <w:rFonts w:ascii="Times New Roman" w:hAnsi="Times New Roman"/>
          <w:b w:val="false"/>
          <w:i w:val="false"/>
          <w:color w:val="000000"/>
          <w:sz w:val="22"/>
        </w:rPr>
        <w:t> </w:t>
      </w:r>
      <w:r>
        <w:rPr>
          <w:rFonts w:ascii="Times New Roman" w:hAnsi="Times New Roman"/>
          <w:b w:val="false"/>
          <w:i/>
          <w:color w:val="000000"/>
          <w:sz w:val="22"/>
        </w:rPr>
        <w:t xml:space="preserve">Distinct and identifiable product. </w:t>
      </w:r>
      <w:r>
        <w:rPr>
          <w:rFonts w:ascii="Times New Roman" w:hAnsi="Times New Roman"/>
          <w:b w:val="false"/>
          <w:i w:val="false"/>
          <w:color w:val="000000"/>
          <w:sz w:val="22"/>
        </w:rPr>
        <w:t>“Distinct and identifiable product” does not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Packaging or other materials that accompany the retail sale of the products and are incidental or immaterial to the retail sales of the products. Packaging or other materials include but are not limited to containers, boxes, sacks, bags, bottles, envelopes, wrapping, labels, tags, twine, garment hangers, and instruction guides.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Seller Z provides paper and plastic bags for purchasers to use to carry away their purchased items. The bags are incidental or immaterial to the retail sales of the products and are not distinct and identifiable products. Seller Z’s retail sale of purchased items in the provided bags does not constitute a bundled transaction.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Seller X sells brownies and offers purchasers the option of adding a premium box for an increased price. The sales price of the brownies is the same whether they are sold on their own or with a standard box, but the total sales price increases if the purchasers select a premium box. The premium box is distinct and identifiable from the food product because it requires separate shopping preferences and product selection by the purchaser and is not standard with every order of food product. The retail sale of the brownies and the premium box may constitute a bundled transaction if the other requirements pursuant to Iowa Code section </w:t>
      </w:r>
      <w:hyperlink r:id="rId5">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Seller A offers purchasers the option to buy reusable, long-lasting grocery bags to use to carry away purchased grocery items. If the reusable grocery bags are purchased with other items and separately itemized, they are taxable and the sale does not constitute a bundled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product that is provided free of charge to the consumer in conjunction with the required purchase of another product, if the sales price of the other product does not vary depending on whether the product provided free of charge is included in the transaction. Examples include a free car wash with the purchase of gasoline or free dinnerware with the purchase of groceries.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Items specified in the definition of “sales price” in Iowa Code section </w:t>
      </w:r>
      <w:hyperlink r:id="rId6">
        <w:r>
          <w:rPr>
            <w:rStyle w:val="Hyperlink"/>
            <w:rFonts w:ascii="Times New Roman" w:hAnsi="Times New Roman"/>
            <w:b w:val="false"/>
            <w:i w:val="false"/>
            <w:color w:val="000000"/>
            <w:sz w:val="22"/>
          </w:rPr>
          <w:t>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w:t>
      </w:r>
      <w:r>
        <w:rPr>
          <w:rFonts w:ascii="Times New Roman" w:hAnsi="Times New Roman"/>
          <w:b w:val="false"/>
          <w:i w:val="false"/>
          <w:color w:val="000000"/>
          <w:sz w:val="22"/>
        </w:rPr>
        <w:t> </w:t>
      </w:r>
      <w:r>
        <w:rPr>
          <w:rFonts w:ascii="Times New Roman" w:hAnsi="Times New Roman"/>
          <w:b w:val="false"/>
          <w:i/>
          <w:color w:val="000000"/>
          <w:sz w:val="22"/>
        </w:rPr>
        <w:t xml:space="preserve">One nonitemized price. </w:t>
      </w:r>
      <w:r>
        <w:rPr>
          <w:rFonts w:ascii="Times New Roman" w:hAnsi="Times New Roman"/>
          <w:b w:val="false"/>
          <w:i w:val="false"/>
          <w:color w:val="000000"/>
          <w:sz w:val="22"/>
        </w:rPr>
        <w:t>“One nonitemized price” does not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price that is separately identified by product on a binding sales document, or other sales-related documentation, that is made available to the customer in paper or electronic form, including but not limited to an invoice, a bill of sale, a receipt, a contract, a service agreement, a lease agreement, a periodic notice of rates and services, a rate card or a price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price for which the sales price varies or is negotiable based on the purchaser’s selection of the products included in the transaction even if the seller only provides one price on its invoice to the purchaser.</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Seller A sells a bakery item as part of a meal which consists of taxable prepared food. The purchaser selects items from a list of options of prepared food to be included in the meal. The individual items of the meal are not itemized on the receipt and the meal is always the same price, notwithstanding the items selected by the purchaser. The meal is sold for one nonitemized price, and the sales price of the meal is subject to tax as a bundled transaction.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Seller B enters into a contract with buyer D to provide various information technology services. Buyer D selects the information technology services it wants from seller B. Through negotiation, buyer D and seller B agree on a price based on the services selected and seller B bills buyer D one price for all of the services, some of which are taxable and some of which are not taxable. Although the invoice from seller B to buyer D only contains one price for all of the services, since the price was based on the products selected by buyer D, the price is not one nonitemized price and the sale does not constitute a bundled transaction.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701—206.3</w:t>
      </w:r>
      <w:r>
        <w:rPr>
          <w:rFonts w:ascii="Times New Roman" w:hAnsi="Times New Roman"/>
          <w:b/>
          <w:i w:val="false"/>
          <w:color w:val="000000"/>
          <w:sz w:val="22"/>
        </w:rPr>
        <w:t xml:space="preserve">(423) </w:t>
      </w:r>
      <w:r>
        <w:rPr>
          <w:rFonts w:ascii="Times New Roman" w:hAnsi="Times New Roman"/>
          <w:b/>
          <w:i w:val="false"/>
          <w:color w:val="000000"/>
          <w:sz w:val="22"/>
        </w:rPr>
        <w:t xml:space="preserve">Transactions not taxable as bundled transactions. </w:t>
      </w:r>
      <w:r>
        <w:rPr>
          <w:rFonts w:ascii="Times New Roman" w:hAnsi="Times New Roman"/>
          <w:b w:val="false"/>
          <w:i w:val="false"/>
          <w:color w:val="000000"/>
          <w:sz w:val="22"/>
        </w:rPr>
        <w:t>Generally, the entire sales price from a bundled transaction is subject to sales tax. However, the transactions described in this rule are not taxable as bundled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mixed tangible personal property and services. </w:t>
      </w:r>
      <w:r>
        <w:rPr>
          <w:rFonts w:ascii="Times New Roman" w:hAnsi="Times New Roman"/>
          <w:b w:val="false"/>
          <w:i w:val="false"/>
          <w:color w:val="000000"/>
          <w:sz w:val="22"/>
        </w:rPr>
        <w:t>The retail sale of tangible personal property or a specified digital product and a service, if the tangible personal property or specified digital product is essential to the use of the service, and provided exclusively in connection with the service, and if the true object of the transaction is the service.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Seller A charges customer B for computer programming services where customer B is also given a backup disk and instruction manual. The true object of the transaction is the provision of the programming services. Seller A is selling nontaxable services and is not making a sale of a bundled transaction. Iowa sales tax is not due on the programmer’s charge for services; sales tax is due on seller A’s purchases of tangible personal property used to fulfill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206.3(2)</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services. </w:t>
      </w:r>
      <w:r>
        <w:rPr>
          <w:rFonts w:ascii="Times New Roman" w:hAnsi="Times New Roman"/>
          <w:b w:val="false"/>
          <w:i w:val="false"/>
          <w:color w:val="000000"/>
          <w:sz w:val="22"/>
        </w:rPr>
        <w:t>The retail sale of services, if one of the services is essential to the use or receipt of a second service, and provided exclusively in connection with the second service, and if the true object of the transaction is the second service. If the transaction is not a bundled transaction as a result of this exclusion, then the true object of the transaction will be the retail sale of the second service and should be taxed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206.3(3)</w:t>
      </w:r>
      <w:r>
        <w:rPr>
          <w:rFonts w:ascii="Times New Roman" w:hAnsi="Times New Roman"/>
          <w:b w:val="false"/>
          <w:i w:val="false"/>
          <w:color w:val="000000"/>
          <w:sz w:val="22"/>
        </w:rPr>
        <w:t> </w:t>
      </w:r>
      <w:r>
        <w:rPr>
          <w:rFonts w:ascii="Times New Roman" w:hAnsi="Times New Roman"/>
          <w:b w:val="false"/>
          <w:i/>
          <w:color w:val="000000"/>
          <w:sz w:val="22"/>
        </w:rPr>
        <w:t xml:space="preserve">True object test. </w:t>
      </w:r>
      <w:r>
        <w:rPr>
          <w:rFonts w:ascii="Times New Roman" w:hAnsi="Times New Roman"/>
          <w:b w:val="false"/>
          <w:i w:val="false"/>
          <w:color w:val="000000"/>
          <w:sz w:val="22"/>
        </w:rPr>
        <w:t>The true object of a transaction is the main product that is the subject of the transaction. Determining the true object of a transaction is a fact-based inquiry and shall be made on a case-by-case basis. Factors that may be considered in determining the true object of a transaction include but are not limited to the nature of the seller’s business and purchaser’s reason for making the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206.3(4)</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de minimis taxable products. </w:t>
      </w:r>
      <w:r>
        <w:rPr>
          <w:rFonts w:ascii="Times New Roman" w:hAnsi="Times New Roman"/>
          <w:b w:val="false"/>
          <w:i w:val="false"/>
          <w:color w:val="000000"/>
          <w:sz w:val="22"/>
        </w:rPr>
        <w:t>A transaction that includes taxable and nontaxable products and the seller’s purchase price or sales price of the taxable products is de minimis. “De minimis” means the seller’s purchase price or sales price of the taxable products is 10 percent or less of the total purchase price or sales price of the bundled products. A seller shall use either the seller’s purchase price or seller’s sales price of the products to determine whether the taxable products are de minimis. A seller may not use a combination of the seller’s purchase price and seller’s sales price of the products to determine whether the taxable products are de minimis.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Seller H sells a coupon book that includes a packet of stickers for one nonitemized price of $75. The packet of stickers is not provided free of charge. Seller H purchased the stickers, a taxable product, for $2 per packet, which does not exceed 10 percent of the total purchase price of the coupon book and stickers. Seller H’s sale of the coupon book and stickers is not a bundled transaction, and the sales price of $75 is not subject to tax.</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Technology Company F (company F) sells access to a day-long live webinar about the latest trends occurring in the technology industry for one nonitemized price of $200. The webinar, which allows for participation that is substantially similar to an in-person presentation, is not subject to Iowa sales tax. The customer also receives a smartwatch that is included in the payment of the webinar but is not provided free of charge. Company F’s sales price of the smartwatch is $50, which exceeds 10 percent of the total sales price of the fee. The watch is subject to sales tax by the customer. Because company F’s purchase price of the watch is not de minimis, the $200 transaction is a bundled transaction and is subject to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206.3(5)</w:t>
      </w:r>
      <w:r>
        <w:rPr>
          <w:rFonts w:ascii="Times New Roman" w:hAnsi="Times New Roman"/>
          <w:b w:val="false"/>
          <w:i w:val="false"/>
          <w:color w:val="000000"/>
          <w:sz w:val="22"/>
        </w:rPr>
        <w:t> </w:t>
      </w:r>
      <w:r>
        <w:rPr>
          <w:rFonts w:ascii="Times New Roman" w:hAnsi="Times New Roman"/>
          <w:b w:val="false"/>
          <w:i/>
          <w:color w:val="000000"/>
          <w:sz w:val="22"/>
        </w:rPr>
        <w:t xml:space="preserve">Sales involving taxable and exempt food or medical products. </w:t>
      </w:r>
      <w:r>
        <w:rPr>
          <w:rFonts w:ascii="Times New Roman" w:hAnsi="Times New Roman"/>
          <w:b w:val="false"/>
          <w:i w:val="false"/>
          <w:color w:val="000000"/>
          <w:sz w:val="22"/>
        </w:rPr>
        <w:t>The retail sale of exempt tangible personal property and taxable tangible personal property where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transaction includes food and food ingredients, drugs, durable medical equipment, mobility enhancing equipment, prosthetic devices, or medical supplies;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seller’s purchase price or sales price of the taxable tangible personal property is 50 percent or less of the total purchase price or sales price of the bundled tangible personal property. Sellers may not use a combination of the purchase price and sales price of the tangible personal property when making the 50 percent determination for a transaction.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Seller F offers its customers a package containing two prepared hot dogs and five frozen hot dogs. The sales price for the two prepared hot dogs is $5, and the sales price of the five frozen hot dogs is $10. The package is sold for one nonitemized price of $15. The sales price of the package is not taxable because the sales price of the taxable items (the two prepared hot dogs) is 50 percent or less of the total sales price of the package.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423.2(8)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5605C</w:t>
      </w:r>
      <w:r>
        <w:rPr>
          <w:rFonts w:ascii="Times New Roman" w:hAnsi="Times New Roman"/>
          <w:b w:val="false"/>
          <w:i w:val="false"/>
          <w:color w:val="000000"/>
          <w:sz w:val="21"/>
        </w:rPr>
        <w:t xml:space="preserve"> (Notice ARC 5504C, IAB 3/10/21)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8153C</w:t>
      </w:r>
      <w:r>
        <w:rPr>
          <w:rFonts w:ascii="Times New Roman" w:hAnsi="Times New Roman"/>
          <w:b w:val="false"/>
          <w:i w:val="false"/>
          <w:color w:val="000000"/>
          <w:sz w:val="21"/>
        </w:rPr>
        <w:t xml:space="preserve"> (Notice ARC 7148C, IAB 12/13/23)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3.2.pdf" Type="http://schemas.openxmlformats.org/officeDocument/2006/relationships/hyperlink" Id="rId5"/>
    <Relationship TargetMode="External" Target="https://www.legis.iowa.gov/docs/ico/chapter/423.1.pdf" Type="http://schemas.openxmlformats.org/officeDocument/2006/relationships/hyperlink" Id="rId6"/>
    <Relationship TargetMode="External" Target="https://www.legis.iowa.gov/docs/ico/chapter/423.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