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w:t>
      </w:r>
    </w:p>
    <w:p>
      <w:pPr>
        <w:spacing w:before="0" w:after="0"/>
        <w:ind w:left="120"/>
        <w:jc w:val="center"/>
      </w:pPr>
      <w:r>
        <w:rPr>
          <w:rFonts w:ascii="Times New Roman" w:hAnsi="Times New Roman"/>
          <w:b w:val="false"/>
          <w:i w:val="false"/>
          <w:color w:val="000000"/>
          <w:sz w:val="21"/>
        </w:rPr>
        <w:t>RULES NECESSARY TO IMPLEMENT THE STREAMLINED SALES</w:t>
      </w:r>
      <w:r>
        <w:br/>
      </w:r>
      <w:r>
        <w:rPr>
          <w:rFonts w:ascii="Times New Roman" w:hAnsi="Times New Roman"/>
          <w:b w:val="false"/>
          <w:i w:val="false"/>
          <w:color w:val="000000"/>
          <w:sz w:val="21"/>
        </w:rPr>
        <w:t xml:space="preserve"> AND USE TAX AGREEMENT</w:t>
      </w:r>
    </w:p>
    <w:p>
      <w:pPr>
        <w:spacing w:before="0" w:after="0"/>
        <w:ind w:left="120"/>
        <w:jc w:val="center"/>
      </w:pPr>
      <w:r>
        <w:rPr>
          <w:rFonts w:ascii="Times New Roman" w:hAnsi="Times New Roman"/>
          <w:b w:val="false"/>
          <w:i w:val="false"/>
          <w:color w:val="000000"/>
          <w:sz w:val="14"/>
        </w:rPr>
        <w:t>[Prior to 9/7/22, see Revenue Department[701] Ch 240]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3/13/29</w:t>
      </w:r>
    </w:p>
    <w:p>
      <w:pPr>
        <w:spacing w:before="0" w:after="0"/>
        <w:ind w:left="120"/>
        <w:jc w:val="both"/>
      </w:pPr>
      <w:r>
        <w:rPr>
          <w:rFonts w:ascii="Times New Roman" w:hAnsi="Times New Roman"/>
          <w:b/>
          <w:i w:val="false"/>
          <w:color w:val="000000"/>
          <w:sz w:val="22"/>
        </w:rPr>
        <w:t>701—204.1</w:t>
      </w:r>
      <w:r>
        <w:rPr>
          <w:rFonts w:ascii="Times New Roman" w:hAnsi="Times New Roman"/>
          <w:b/>
          <w:i w:val="false"/>
          <w:color w:val="000000"/>
          <w:sz w:val="22"/>
        </w:rPr>
        <w:t xml:space="preserve">(423) </w:t>
      </w:r>
      <w:r>
        <w:rPr>
          <w:rFonts w:ascii="Times New Roman" w:hAnsi="Times New Roman"/>
          <w:b/>
          <w:i w:val="false"/>
          <w:color w:val="000000"/>
          <w:sz w:val="22"/>
        </w:rPr>
        <w:t xml:space="preserve">Allowing use of the lowest tax rate within a database area and use of the tax rate for a five-digit area when a nine-digit zip code cannot be used. </w:t>
      </w:r>
      <w:r>
        <w:rPr>
          <w:rFonts w:ascii="Times New Roman" w:hAnsi="Times New Roman"/>
          <w:b w:val="false"/>
          <w:i w:val="false"/>
          <w:color w:val="000000"/>
          <w:sz w:val="22"/>
        </w:rPr>
        <w:t>Any database maintained by the department that displays tax rates and tax jurisdictional boundaries based on either a five-digit or nine-digit zip code system shall, if an area encompassing one zip code has two or more rates of tax, provide to retailers a means of identifying and applying the lowest rate within the area for use in computing tax due. If a nine-digit zip code designation is not available for a street address or if a seller is unable to determine the nine-digit zip code designation of a purchaser after exercising due diligence to determine the designation, the seller may apply the lowest rate for the five-digit zip code area.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423.55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701—204.2</w:t>
      </w:r>
      <w:r>
        <w:rPr>
          <w:rFonts w:ascii="Times New Roman" w:hAnsi="Times New Roman"/>
          <w:b/>
          <w:i w:val="false"/>
          <w:color w:val="000000"/>
          <w:sz w:val="22"/>
        </w:rPr>
        <w:t xml:space="preserve">(423) </w:t>
      </w:r>
      <w:r>
        <w:rPr>
          <w:rFonts w:ascii="Times New Roman" w:hAnsi="Times New Roman"/>
          <w:b/>
          <w:i w:val="false"/>
          <w:color w:val="000000"/>
          <w:sz w:val="22"/>
        </w:rPr>
        <w:t xml:space="preserve">Permissible categories of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“Entity-based exemption” </w:t>
      </w:r>
      <w:r>
        <w:rPr>
          <w:rFonts w:ascii="Times New Roman" w:hAnsi="Times New Roman"/>
          <w:b w:val="false"/>
          <w:i w:val="false"/>
          <w:color w:val="000000"/>
          <w:sz w:val="22"/>
        </w:rPr>
        <w:t>means an exemption based on who purchases the product or who sells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“Product-based exemption” </w:t>
      </w:r>
      <w:r>
        <w:rPr>
          <w:rFonts w:ascii="Times New Roman" w:hAnsi="Times New Roman"/>
          <w:b w:val="false"/>
          <w:i w:val="false"/>
          <w:color w:val="000000"/>
          <w:sz w:val="22"/>
        </w:rPr>
        <w:t>means an exemption based on the description of the product and not based on who purchases the product or how the purchaser intends to use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“Use-based exemption” </w:t>
      </w:r>
      <w:r>
        <w:rPr>
          <w:rFonts w:ascii="Times New Roman" w:hAnsi="Times New Roman"/>
          <w:b w:val="false"/>
          <w:i w:val="false"/>
          <w:color w:val="000000"/>
          <w:sz w:val="22"/>
        </w:rPr>
        <w:t>means an exemption based on the purchaser’s use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w:t>
      </w:r>
      <w:r>
        <w:rPr>
          <w:rFonts w:ascii="Times New Roman" w:hAnsi="Times New Roman"/>
          <w:b w:val="false"/>
          <w:i w:val="false"/>
          <w:color w:val="000000"/>
          <w:sz w:val="22"/>
        </w:rPr>
        <w:t> </w:t>
      </w:r>
      <w:r>
        <w:rPr>
          <w:rFonts w:ascii="Times New Roman" w:hAnsi="Times New Roman"/>
          <w:b w:val="false"/>
          <w:i/>
          <w:color w:val="000000"/>
          <w:sz w:val="22"/>
        </w:rPr>
        <w:t xml:space="preserve">Product-based exemptions. </w:t>
      </w:r>
      <w:r>
        <w:rPr>
          <w:rFonts w:ascii="Times New Roman" w:hAnsi="Times New Roman"/>
          <w:b w:val="false"/>
          <w:i w:val="false"/>
          <w:color w:val="000000"/>
          <w:sz w:val="22"/>
        </w:rPr>
        <w:t>Iowa will enact a product-based exemption without restriction only if the agreement does not have a definition for the product or for a term that includes the product. If the agreement has a definition for the product or for a term that includes the product, Iowa will exempt all items included within the definition but will not exempt only part of the items included within the definition unless the agreement sets out the exemption for part of the items as an acceptable variation.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w:t>
      </w:r>
      <w:r>
        <w:rPr>
          <w:rFonts w:ascii="Times New Roman" w:hAnsi="Times New Roman"/>
          <w:b w:val="false"/>
          <w:i w:val="false"/>
          <w:color w:val="000000"/>
          <w:sz w:val="22"/>
        </w:rPr>
        <w:t> </w:t>
      </w:r>
      <w:r>
        <w:rPr>
          <w:rFonts w:ascii="Times New Roman" w:hAnsi="Times New Roman"/>
          <w:b w:val="false"/>
          <w:i/>
          <w:color w:val="000000"/>
          <w:sz w:val="22"/>
        </w:rPr>
        <w:t xml:space="preserve">Entity-based and use-based exemptions. </w:t>
      </w:r>
      <w:r>
        <w:rPr>
          <w:rFonts w:ascii="Times New Roman" w:hAnsi="Times New Roman"/>
          <w:b w:val="false"/>
          <w:i w:val="false"/>
          <w:color w:val="000000"/>
          <w:sz w:val="22"/>
        </w:rPr>
        <w:t>Iowa will enact an entity-based or a use-based exemption without restriction only if the agreement has no definition for the product whose use or purchase by a specific entity is exempt or for a term that includes the product. If the agreement has a definition for the product whose use or specific purchase is exempt, Iowa will enact an entity-based or a use-based exemption that applies to that product only if the exemption utilizes the agreement’s definition of the product. If the agreement does not have a definition for the product whose use or specific purchase is exempt but has a definition for a term that includes the product, Iowa has the power to enact an entity-based or a use-based exemption for the product without restriction.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701—204.3</w:t>
      </w:r>
      <w:r>
        <w:rPr>
          <w:rFonts w:ascii="Times New Roman" w:hAnsi="Times New Roman"/>
          <w:b/>
          <w:i w:val="false"/>
          <w:color w:val="000000"/>
          <w:sz w:val="22"/>
        </w:rPr>
        <w:t xml:space="preserve">(423) </w:t>
      </w:r>
      <w:r>
        <w:rPr>
          <w:rFonts w:ascii="Times New Roman" w:hAnsi="Times New Roman"/>
          <w:b/>
          <w:i w:val="false"/>
          <w:color w:val="000000"/>
          <w:sz w:val="22"/>
        </w:rPr>
        <w:t xml:space="preserve">Requirement of uniformity in the filing of returns and remittance of funds. </w:t>
      </w:r>
      <w:r>
        <w:rPr>
          <w:rFonts w:ascii="Times New Roman" w:hAnsi="Times New Roman"/>
          <w:b w:val="false"/>
          <w:i w:val="false"/>
          <w:color w:val="000000"/>
          <w:sz w:val="22"/>
        </w:rPr>
        <w:t>Any model 1, 2, or 3 seller may submit its sales or use tax returns in a simplified format that does not include more data fields than permitted by the governing board. The department will require only one remittance for each return except as otherwise allowed by the agreement. If any additional remittance is required, it will only be required from sellers that have collected more than $30,000 in sales and use taxes in Iowa during the preceding calendar year. The amount of the additional remittance shall be determined through a calculation method rather than actual collections and shall not require the filing of an additional return.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701—204.4</w:t>
      </w:r>
      <w:r>
        <w:rPr>
          <w:rFonts w:ascii="Times New Roman" w:hAnsi="Times New Roman"/>
          <w:b/>
          <w:i w:val="false"/>
          <w:color w:val="000000"/>
          <w:sz w:val="22"/>
        </w:rPr>
        <w:t xml:space="preserve">(423) </w:t>
      </w:r>
      <w:r>
        <w:rPr>
          <w:rFonts w:ascii="Times New Roman" w:hAnsi="Times New Roman"/>
          <w:b/>
          <w:i w:val="false"/>
          <w:color w:val="000000"/>
          <w:sz w:val="22"/>
        </w:rPr>
        <w:t xml:space="preserve">Allocation of bad debts. </w:t>
      </w:r>
      <w:r>
        <w:rPr>
          <w:rFonts w:ascii="Times New Roman" w:hAnsi="Times New Roman"/>
          <w:b w:val="false"/>
          <w:i w:val="false"/>
          <w:color w:val="000000"/>
          <w:sz w:val="22"/>
        </w:rPr>
        <w:t xml:space="preserve">If a seller is entitled under Iowa Code section </w:t>
      </w:r>
      <w:hyperlink r:id="rId8">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to deduct bad debts owed to the seller and those bad debts consist of any sales price or purchase price upon which tax has been paid to the state of Iowa as well as a state or states other than Iowa, then allocation of the bad debt is allowed. The seller must support an allocation of the bad debts between Iowa and the other state or states through the proper accounting of its books and records.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701—204.5</w:t>
      </w:r>
      <w:r>
        <w:rPr>
          <w:rFonts w:ascii="Times New Roman" w:hAnsi="Times New Roman"/>
          <w:b/>
          <w:i w:val="false"/>
          <w:color w:val="000000"/>
          <w:sz w:val="22"/>
        </w:rPr>
        <w:t xml:space="preserve">(423) </w:t>
      </w:r>
      <w:r>
        <w:rPr>
          <w:rFonts w:ascii="Times New Roman" w:hAnsi="Times New Roman"/>
          <w:b/>
          <w:i w:val="false"/>
          <w:color w:val="000000"/>
          <w:sz w:val="22"/>
        </w:rPr>
        <w:t xml:space="preserve">Purchaser refund procedures. </w:t>
      </w:r>
      <w:r>
        <w:rPr>
          <w:rFonts w:ascii="Times New Roman" w:hAnsi="Times New Roman"/>
          <w:b w:val="false"/>
          <w:i w:val="false"/>
          <w:color w:val="000000"/>
          <w:sz w:val="22"/>
        </w:rPr>
        <w:t xml:space="preserve">Iowa law allows a purchaser to seek a return of overcollected sales or use taxes from the seller who collected them. More information is contained in Iowa Code section </w:t>
      </w:r>
      <w:hyperlink r:id="rId10">
        <w:r>
          <w:rPr>
            <w:rStyle w:val="Hyperlink"/>
            <w:rFonts w:ascii="Times New Roman" w:hAnsi="Times New Roman"/>
            <w:b w:val="false"/>
            <w:i w:val="false"/>
            <w:color w:val="000000"/>
            <w:sz w:val="22"/>
          </w:rPr>
          <w:t>423.45(2)</w:t>
        </w:r>
      </w:hyperlink>
      <w:r>
        <w:rPr>
          <w:rFonts w:ascii="Times New Roman" w:hAnsi="Times New Roman"/>
          <w:b w:val="false"/>
          <w:i w:val="false"/>
          <w:color w:val="000000"/>
          <w:sz w:val="22"/>
        </w:rPr>
        <w:t>. In connection with any purchaser’s request of a seller that the seller return sales or use tax alleged to have been overcollected, the seller to whom the request is directed shall be rebuttably presumed to have a reasonable business practice if, in the collection of such sales or use tax, the seller uses either a provider or a system, including a proprietary system, which is certified by this state and has remitted all taxes collected by the use of that provider system to the department, less any deductions, credits, or collection allowances.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701—204.6</w:t>
      </w:r>
      <w:r>
        <w:rPr>
          <w:rFonts w:ascii="Times New Roman" w:hAnsi="Times New Roman"/>
          <w:b/>
          <w:i w:val="false"/>
          <w:color w:val="000000"/>
          <w:sz w:val="22"/>
        </w:rPr>
        <w:t xml:space="preserve">(423) </w:t>
      </w:r>
      <w:r>
        <w:rPr>
          <w:rFonts w:ascii="Times New Roman" w:hAnsi="Times New Roman"/>
          <w:b/>
          <w:i w:val="false"/>
          <w:color w:val="000000"/>
          <w:sz w:val="22"/>
        </w:rPr>
        <w:t xml:space="preserve">Relief from liability for reliance on taxability matrix. </w:t>
      </w:r>
      <w:r>
        <w:rPr>
          <w:rFonts w:ascii="Times New Roman" w:hAnsi="Times New Roman"/>
          <w:b w:val="false"/>
          <w:i w:val="false"/>
          <w:color w:val="000000"/>
          <w:sz w:val="22"/>
        </w:rPr>
        <w:t xml:space="preserve">Iowa provides and maintains a taxability matrix in a database that is in a downloadable format approved by the governing board. All sellers and certified service providers are relieved from liability to Iowa and any jurisdiction imposing a local option tax under Iowa Code chapter </w:t>
      </w:r>
      <w:hyperlink r:id="rId12">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for having charged and collected the incorrect amount of sales or use tax resulting from the seller’s or certified service provider’s reliance on erroneous data provided by that taxability matrix.</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701—204.7</w:t>
      </w:r>
      <w:r>
        <w:rPr>
          <w:rFonts w:ascii="Times New Roman" w:hAnsi="Times New Roman"/>
          <w:b/>
          <w:i w:val="false"/>
          <w:color w:val="000000"/>
          <w:sz w:val="22"/>
        </w:rPr>
        <w:t xml:space="preserve">(423) </w:t>
      </w:r>
      <w:r>
        <w:rPr>
          <w:rFonts w:ascii="Times New Roman" w:hAnsi="Times New Roman"/>
          <w:b/>
          <w:i w:val="false"/>
          <w:color w:val="000000"/>
          <w:sz w:val="22"/>
        </w:rPr>
        <w:t xml:space="preserve">Effective dates of taxation rate increases or decreases when certain services are furnished. </w:t>
      </w:r>
      <w:r>
        <w:rPr>
          <w:rFonts w:ascii="Times New Roman" w:hAnsi="Times New Roman"/>
          <w:b w:val="false"/>
          <w:i w:val="false"/>
          <w:color w:val="000000"/>
          <w:sz w:val="22"/>
        </w:rPr>
        <w:t>Certain taxable services are usually furnished over an extended period of time (e.g., utilities, janitorial, and ministorage services), and the user of such a service is billed at regular intervals (e.g., monthly or quarterly). The beginning date when a rate change is imposed on the sales price of this type of service differs, depending upon whether a rate increase or rate decrease is involved. If the rate of taxation has been increased, the beginning date of the rate change shall be the first day of the first billing period occurring on or after the effective date of the rate increase. If the rate of taxation has been decreased, the new rate shall apply to bills rendered on or after the effective date of the rate decrease.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701—204.8</w:t>
      </w:r>
      <w:r>
        <w:rPr>
          <w:rFonts w:ascii="Times New Roman" w:hAnsi="Times New Roman"/>
          <w:b/>
          <w:i w:val="false"/>
          <w:color w:val="000000"/>
          <w:sz w:val="22"/>
        </w:rPr>
        <w:t xml:space="preserve">(423) </w:t>
      </w:r>
      <w:r>
        <w:rPr>
          <w:rFonts w:ascii="Times New Roman" w:hAnsi="Times New Roman"/>
          <w:b/>
          <w:i w:val="false"/>
          <w:color w:val="000000"/>
          <w:sz w:val="22"/>
        </w:rPr>
        <w:t xml:space="preserve">Freight, other transportation charges, and exclusions from the exemption applicable to these services. </w:t>
      </w:r>
      <w:r>
        <w:rPr>
          <w:rFonts w:ascii="Times New Roman" w:hAnsi="Times New Roman"/>
          <w:b w:val="false"/>
          <w:i w:val="false"/>
          <w:color w:val="000000"/>
          <w:sz w:val="22"/>
        </w:rPr>
        <w:t>The determination of whether freight and other transportation charges are subject to sales or use tax is dependent upon the terms of the sale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204.8(1)</w:t>
      </w:r>
      <w:r>
        <w:rPr>
          <w:rFonts w:ascii="Times New Roman" w:hAnsi="Times New Roman"/>
          <w:b w:val="false"/>
          <w:i w:val="false"/>
          <w:color w:val="000000"/>
          <w:sz w:val="22"/>
        </w:rPr>
        <w:t> </w:t>
      </w:r>
      <w:r>
        <w:rPr>
          <w:rFonts w:ascii="Times New Roman" w:hAnsi="Times New Roman"/>
          <w:b w:val="false"/>
          <w:i/>
          <w:color w:val="000000"/>
          <w:sz w:val="22"/>
        </w:rPr>
        <w:t xml:space="preserve">Charges separately stated. </w:t>
      </w:r>
      <w:r>
        <w:rPr>
          <w:rFonts w:ascii="Times New Roman" w:hAnsi="Times New Roman"/>
          <w:b w:val="false"/>
          <w:i w:val="false"/>
          <w:color w:val="000000"/>
          <w:sz w:val="22"/>
        </w:rPr>
        <w:t>When tangible personal property or a taxable service is sold at retail in Iowa or purchased for use in Iowa and under the terms of the sale agreement the seller is to deliver the property to the buyer or the purchaser is responsible for delivery and such delivery charges are stated and agreed to in the sale agreement or the charges are separate from the sale agreement, the sales price of the freight or transportation charges is not subject to tax. This exemption does not apply to the service of transporting electrical energy or the service of transporting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204.8(2)</w:t>
      </w:r>
      <w:r>
        <w:rPr>
          <w:rFonts w:ascii="Times New Roman" w:hAnsi="Times New Roman"/>
          <w:b w:val="false"/>
          <w:i w:val="false"/>
          <w:color w:val="000000"/>
          <w:sz w:val="22"/>
        </w:rPr>
        <w:t> </w:t>
      </w:r>
      <w:r>
        <w:rPr>
          <w:rFonts w:ascii="Times New Roman" w:hAnsi="Times New Roman"/>
          <w:b w:val="false"/>
          <w:i/>
          <w:color w:val="000000"/>
          <w:sz w:val="22"/>
        </w:rPr>
        <w:t xml:space="preserve">Charges not separately stated. </w:t>
      </w:r>
      <w:r>
        <w:rPr>
          <w:rFonts w:ascii="Times New Roman" w:hAnsi="Times New Roman"/>
          <w:b w:val="false"/>
          <w:i w:val="false"/>
          <w:color w:val="000000"/>
          <w:sz w:val="22"/>
        </w:rPr>
        <w:t>When freight and other transportation charges are not separately stated in the sale agreement or are not separately sold, the sales price of the freight or transportation charges become a part of the sales price of the sale of tangible personal property or a taxable service and are subject to tax. Where a sales agreement exists, the freight and other transportation charges are subject to tax unless the freight and other transportation charges are separately contracted. If the written contract contains no provisions separately itemizing such a charge, tax is due on the full contract price with no deduction for transportation charge, regardless of whether or not such transportation charges are itemized separately on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sales price from charges for delivery of electricity or natural gas are exempt from tax to the extent that the sales price from the sale, furnishing, or service of electricity or natural gas or its use are exempt from sales or use tax under Iowa Code chapter </w:t>
      </w:r>
      <w:hyperlink r:id="rId1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The exclusions from this exemption relating to the transportation of natural gas and electricity are applicable to all contracts for the performance of these transportation services. Below are examples that explain some of the principal circumstances in which the transport of natural gas or electricity is a service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204.8(4)</w:t>
      </w:r>
      <w:r>
        <w:rPr>
          <w:rFonts w:ascii="Times New Roman" w:hAnsi="Times New Roman"/>
          <w:b w:val="false"/>
          <w:i w:val="false"/>
          <w:color w:val="000000"/>
          <w:sz w:val="22"/>
        </w:rPr>
        <w:t> </w:t>
      </w:r>
      <w:r>
        <w:rPr>
          <w:rFonts w:ascii="Times New Roman" w:hAnsi="Times New Roman"/>
          <w:b w:val="false"/>
          <w:i/>
          <w:color w:val="000000"/>
          <w:sz w:val="22"/>
        </w:rPr>
        <w:t xml:space="preserve">Applicable charges. </w:t>
      </w:r>
      <w:r>
        <w:rPr>
          <w:rFonts w:ascii="Times New Roman" w:hAnsi="Times New Roman"/>
          <w:b w:val="false"/>
          <w:i w:val="false"/>
          <w:color w:val="000000"/>
          <w:sz w:val="22"/>
        </w:rPr>
        <w:t>Freight and transportation charges include but are not limited to the following charges or fees: freight, transportation, shipping, delivery, or trip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Consumer ABC, located in Des Moines, contracts with supplier DEF, located in Waterloo, for DEF to sell gas and electricity to ABC. ABC then contracts with utility GHI to transport the energy over GHI’s network (of pipes or wires) from Waterloo to ABC’s facility in Des Moines. GHI’s transport of ABC’s energy is a taxable service. The transportation of natural gas and electricity by a utility is a taxable service of furnishing natural gas or electricity whether or not that utility or some other utility produces the natural gas or generates the electricity furnished. A utility’s transportation of gas or electricity is a “transportation service” specifically excluded from the exemption in Iowa Code section 423.3(70).</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Consumer ABC contracts with utility DEF for DEF to provide electricity from DEF’s generating plant in Mason City to ABC’s location in Cedar Rapids. Transport of the electricity is by way of DEF’s network of long-distance transmission lines. The contract between ABC and DEF states the prices to be paid for the purchase of various amounts of electricity and also sets out the amounts to be paid for transport of electricity and constitutes separate sales of electricity and transportation services. In these circumstances, amounts that ABC pays DEF for transport of the electricity are taxable.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As in Example 2, consumer ABC contracts with utility DEF for the delivery of electricity from DEF’s generating plant in Mason City to ABC’s location in Cedar Rapids, ownership of the electricity to pass to ABC in Cedar Rapids. Also, as in Example 2, the contract between ABC and DEF states varying prices to be paid for the purchase and transportation of varying amounts of electricity and constitutes separate sales of electricity and transportation services. Transport of the electricity will be by way of GHI’s transmission lines. DEF contracts with GHI for the transport of the electricity to ABC’s plant in Cedar Rapids. At the time the contract is signed, GHI asks DEF for an exemption certificate stating that DEF will resell GHI’s transportation service to ABC. GHI must either secure the certificate or collect Iowa sales tax from DEF. GHI is furnishing a taxable electricity transportation service to DEF, which DEF will in turn furnish to ABC. DEF must collect tax from ABC.</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In this example, the same contract exists between ABC and DEF as exists in Example 3. However, in this example, a breakdown at DEF’s plant in Mason City prevents DEF from generating the electricity that it is contractually obligated to provide to ABC. DEF is forced to purchase both electricity and its transport from JKL. The contract between DEF and JKL states the prices to be paid for the purchase of various amounts of electricity and also sets out the amounts to be paid for the transport of this electricity and constitutes separate sales of electricity and transportation services. JKL asks DEF for an exemption certificate stating that DEF has purchased the electricity and its transport for resale to ABC. In this case, JKL must secure an exemption certificate from DEF to avoid collecting tax on its sale and transport of the electricity for DEF.</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Again, ABC and DEF have contracted, as they did in Example 2, for DEF to sell and transport electricity from Mason City to Cedar Rapids. However, their agreement mentions only one combined price for sale and delivery of the electricity. There is no separately contracted price for transport of the electricity, in contrast to the situation in Example 2. In this case, the entire amount that ABC pays to DEF is taxable as the entire amount paid is for the sale of tangible personal property.</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Manufacturer EFG contracts with utility DEF for the purchase of natural gas with a separate contract for its delivery. The gas is to be transported from DEF’s storage facility near Osceola to EFG’s manufacturing plant in Fort Dodge by way of DEF’s pipeline. Ownership of the gas passes from DEF to EFG in Fort Dodge. EFG uses 92 percent of the gas that is transported to its plant in processing the tangible personal property manufactured there. The receipts that EFG pays DEF for the transport of the gas are excluded from the transportation exemption, but they are not excluded from the processing exemption. Ninety-two percent of those receipts are exempt from tax because that is the percentage of gas used by EFG in processing. In addition, utility DEF charges manufacturer EFG $9.95 as a delivery fee for the gas. Since the purchase of the gas has a 92 percent exemption from Iowa sales tax because of a 92 percent usage in processing, 92 percent of the delivery charge of $9.95 is also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423.2 </w:t>
        </w:r>
      </w:hyperlink>
      <w:r>
        <w:rPr>
          <w:rFonts w:ascii="Times New Roman" w:hAnsi="Times New Roman"/>
          <w:b w:val="false"/>
          <w:i w:val="false"/>
          <w:color w:val="000000"/>
          <w:sz w:val="22"/>
        </w:rPr>
        <w:t xml:space="preserve">and </w:t>
      </w:r>
      <w:hyperlink r:id="rId18">
        <w:r>
          <w:rPr>
            <w:rStyle w:val="Hyperlink"/>
            <w:rFonts w:ascii="Times New Roman" w:hAnsi="Times New Roman"/>
            <w:b w:val="false"/>
            <w:i w:val="false"/>
            <w:color w:val="000000"/>
            <w:sz w:val="22"/>
          </w:rPr>
          <w:t>423.3.</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6/3/05, Notice 4/27/05—published 6/22/05, effective 7/27/05]</w:t>
      </w:r>
    </w:p>
    <w:p>
      <w:pPr>
        <w:spacing w:before="0" w:after="0"/>
        <w:ind w:left="120"/>
        <w:jc w:val="center"/>
      </w:pPr>
      <w:r>
        <w:rPr>
          <w:rFonts w:ascii="Times New Roman" w:hAnsi="Times New Roman"/>
          <w:b w:val="false"/>
          <w:i w:val="false"/>
          <w:color w:val="000000"/>
          <w:sz w:val="21"/>
        </w:rPr>
        <w:t>[Filed ARC 0415C</w:t>
      </w:r>
      <w:r>
        <w:rPr>
          <w:rFonts w:ascii="Times New Roman" w:hAnsi="Times New Roman"/>
          <w:b w:val="false"/>
          <w:i w:val="false"/>
          <w:color w:val="000000"/>
          <w:sz w:val="21"/>
        </w:rPr>
        <w:t xml:space="preserve"> (Notice ARC 0326C,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7619C</w:t>
      </w:r>
      <w:r>
        <w:rPr>
          <w:rFonts w:ascii="Times New Roman" w:hAnsi="Times New Roman"/>
          <w:b w:val="false"/>
          <w:i w:val="false"/>
          <w:color w:val="000000"/>
          <w:sz w:val="21"/>
        </w:rPr>
        <w:t xml:space="preserve"> (Notice ARC 7146C,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8151C</w:t>
      </w:r>
      <w:r>
        <w:rPr>
          <w:rFonts w:ascii="Times New Roman" w:hAnsi="Times New Roman"/>
          <w:b w:val="false"/>
          <w:i w:val="false"/>
          <w:color w:val="000000"/>
          <w:sz w:val="21"/>
        </w:rPr>
        <w:t xml:space="preserve"> (Notice ARC 7196C,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55.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21.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45.pdf" Type="http://schemas.openxmlformats.org/officeDocument/2006/relationships/hyperlink" Id="rId10"/>
    <Relationship TargetMode="External" Target="https://www.legis.iowa.gov/docs/ico/chapter/423.pdf" Type="http://schemas.openxmlformats.org/officeDocument/2006/relationships/hyperlink" Id="rId11"/>
    <Relationship TargetMode="External" Target="https://www.legis.iowa.gov/docs/ico/chapter/423B.pdf" Type="http://schemas.openxmlformats.org/officeDocument/2006/relationships/hyperlink" Id="rId12"/>
    <Relationship TargetMode="External" Target="https://www.legis.iowa.gov/docs/ico/chapter/423E.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2.pdf" Type="http://schemas.openxmlformats.org/officeDocument/2006/relationships/hyperlink" Id="rId17"/>
    <Relationship TargetMode="External" Target="https://www.legis.iowa.gov/docs/ico/chapter/423.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