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w:t>
      </w:r>
    </w:p>
    <w:p>
      <w:pPr>
        <w:spacing w:before="0" w:after="0"/>
        <w:ind w:left="120"/>
        <w:jc w:val="center"/>
      </w:pPr>
      <w:r>
        <w:rPr>
          <w:rFonts w:ascii="Times New Roman" w:hAnsi="Times New Roman"/>
          <w:b w:val="false"/>
          <w:i w:val="false"/>
          <w:color w:val="000000"/>
          <w:sz w:val="21"/>
        </w:rPr>
        <w:t>FILING RETURNS AND PAYMENT OF TAX</w:t>
      </w:r>
    </w:p>
    <w:p>
      <w:pPr>
        <w:spacing w:before="0" w:after="0"/>
        <w:ind w:left="120"/>
        <w:jc w:val="center"/>
      </w:pPr>
      <w:r>
        <w:rPr>
          <w:rFonts w:ascii="Times New Roman" w:hAnsi="Times New Roman"/>
          <w:b w:val="false"/>
          <w:i w:val="false"/>
          <w:color w:val="000000"/>
          <w:sz w:val="14"/>
        </w:rPr>
        <w:t>[Prior to 7/13/22, see 701—Chapter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701—202.1</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and use tax return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A retailer owing $1,200 or more in sales or use tax per calendar year shall file a sales and use tax return once per month. This monthly return is due on or before the last day of the month following the end of the month in which the tax was collected. A retailer owing less than $1,200 in sales or use tax per calendar year shall file a sales and use tax return at least once per annual year, due on or before January 31 for the prior calendar year. A retailer otherwise expected to file a return annually may file a return on a monthly basis if the retailer prefers to do so. Every return shall be signed and 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color w:val="000000"/>
          <w:sz w:val="22"/>
        </w:rPr>
        <w:t xml:space="preserve">New retailers. </w:t>
      </w:r>
      <w:r>
        <w:rPr>
          <w:rFonts w:ascii="Times New Roman" w:hAnsi="Times New Roman"/>
          <w:b w:val="false"/>
          <w:i w:val="false"/>
          <w:color w:val="000000"/>
          <w:sz w:val="22"/>
        </w:rPr>
        <w:t>A retailer who has never held an Iowa sales or use tax permit and has never collected or accrued sales or use tax in Iowa shall indicate at the time the retailer registers for its permit whether it expects to file a return monthly or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color w:val="000000"/>
          <w:sz w:val="22"/>
        </w:rPr>
        <w:t xml:space="preserve">Changes to filing frequency. </w:t>
      </w:r>
      <w:r>
        <w:rPr>
          <w:rFonts w:ascii="Times New Roman" w:hAnsi="Times New Roman"/>
          <w:b w:val="false"/>
          <w:i w:val="false"/>
          <w:color w:val="000000"/>
          <w:sz w:val="22"/>
        </w:rPr>
        <w:t>A retailer registered to file an annual sales and use tax return should update its return filing frequency as needed. The department may adjust a retailer’s filing frequency if the retailer has remitted $1,200 or more in its first year of operation in Iowa and the department has notified the retailer that it meets or exceeds the filing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$1,200 filing frequency threshold. </w:t>
      </w:r>
      <w:r>
        <w:rPr>
          <w:rFonts w:ascii="Times New Roman" w:hAnsi="Times New Roman"/>
          <w:b w:val="false"/>
          <w:i w:val="false"/>
          <w:color w:val="000000"/>
          <w:sz w:val="22"/>
        </w:rPr>
        <w:t>The threshold for determining whether a retailer should file a monthly or an annual sales and use tax return shall be calculated by adding sales and use taxes due in a calendar year. Other excise taxes should not be included in the calculation, even though they may be reported on the sales and use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requirement and exception. </w:t>
      </w:r>
      <w:r>
        <w:rPr>
          <w:rFonts w:ascii="Times New Roman" w:hAnsi="Times New Roman"/>
          <w:b w:val="false"/>
          <w:i w:val="false"/>
          <w:color w:val="000000"/>
          <w:sz w:val="22"/>
        </w:rPr>
        <w:t>Retailers required to file a monthly sales and use tax return shall file the return through GovConnectIowa. A retailer who is unable to file a return electronically may request permission from the director to file a paper return. A retailer requesting such permission shall provide proof of its inability to file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color w:val="000000"/>
          <w:sz w:val="22"/>
        </w:rPr>
        <w:t xml:space="preserve">Simplified electronic return 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registered to collect Iowa tax through the Streamlined Sales Tax Registration System as a Model 1 seller shall file a simplified electronic return on or before the twentieth day of each month following the end of the month in which the tax was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retailer using the simplified electronic return shall file the return on or before the last day of the month following the end of the month in which the tax was collected.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701—202.2</w:t>
      </w:r>
      <w:r>
        <w:rPr>
          <w:rFonts w:ascii="Times New Roman" w:hAnsi="Times New Roman"/>
          <w:b/>
          <w:i w:val="false"/>
          <w:color w:val="000000"/>
          <w:sz w:val="22"/>
        </w:rPr>
        <w:t xml:space="preserve">(423) </w:t>
      </w:r>
      <w:r>
        <w:rPr>
          <w:rFonts w:ascii="Times New Roman" w:hAnsi="Times New Roman"/>
          <w:b/>
          <w:i w:val="false"/>
          <w:color w:val="000000"/>
          <w:sz w:val="22"/>
        </w:rPr>
        <w:t xml:space="preserve">Reporting sales or use taxes. </w:t>
      </w:r>
      <w:r>
        <w:rPr>
          <w:rFonts w:ascii="Times New Roman" w:hAnsi="Times New Roman"/>
          <w:b w:val="false"/>
          <w:i w:val="false"/>
          <w:color w:val="000000"/>
          <w:sz w:val="22"/>
        </w:rPr>
        <w:t>A taxpayer with a reporting obligation for either sales tax or use tax but not both shall affirmatively indicate on the sales and use tax return that the taxpayer has no tax to report for the appropriate tax type. A taxpayer does this by making the appropriate indication on an electronic return or by entering a zero on the taxable amount line in the tax section of a paper return for which the taxpayer does not have tax to report. A taxpayer who fails to do so will be treated as not reporting for that tax type.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and use tax remittance. </w:t>
      </w:r>
      <w:r>
        <w:rPr>
          <w:rFonts w:ascii="Times New Roman" w:hAnsi="Times New Roman"/>
          <w:b w:val="false"/>
          <w:i w:val="false"/>
          <w:color w:val="000000"/>
          <w:sz w:val="22"/>
        </w:rPr>
        <w:t>Sales or use tax owed by a retailer shall accompany the sales and use tax return for the period in which the tax became due. Retailers filing a monthly sales and use tax return electronically shall remit tax electronically. Retailers filing a paper return may remit tax by mail, payable to the Iowa Department of Revenue. Remittances transmitted electronically are considered to have been made on the date the remittance is completed in GovConnectIowa.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701—202.4</w:t>
      </w:r>
      <w:r>
        <w:rPr>
          <w:rFonts w:ascii="Times New Roman" w:hAnsi="Times New Roman"/>
          <w:b/>
          <w:i w:val="false"/>
          <w:color w:val="000000"/>
          <w:sz w:val="22"/>
        </w:rPr>
        <w:t xml:space="preserve">(423) </w:t>
      </w:r>
      <w:r>
        <w:rPr>
          <w:rFonts w:ascii="Times New Roman" w:hAnsi="Times New Roman"/>
          <w:b/>
          <w:i w:val="false"/>
          <w:color w:val="000000"/>
          <w:sz w:val="22"/>
        </w:rPr>
        <w:t xml:space="preserve">Due dates, weekends, and holidays. </w:t>
      </w:r>
      <w:r>
        <w:rPr>
          <w:rFonts w:ascii="Times New Roman" w:hAnsi="Times New Roman"/>
          <w:b w:val="false"/>
          <w:i w:val="false"/>
          <w:color w:val="000000"/>
          <w:sz w:val="22"/>
        </w:rPr>
        <w:t xml:space="preserve">Due dates that fall on a Saturday, Sunday, or holiday shall be treated in accordance with Iowa Code section </w:t>
      </w:r>
      <w:hyperlink r:id="rId8">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Iowa Code section </w:t>
      </w:r>
      <w:hyperlink r:id="rId9">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contains a definition of “holiday.”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701—202.5</w:t>
      </w:r>
      <w:r>
        <w:rPr>
          <w:rFonts w:ascii="Times New Roman" w:hAnsi="Times New Roman"/>
          <w:b/>
          <w:i w:val="false"/>
          <w:color w:val="000000"/>
          <w:sz w:val="22"/>
        </w:rPr>
        <w:t xml:space="preserve">(423) </w:t>
      </w:r>
      <w:r>
        <w:rPr>
          <w:rFonts w:ascii="Times New Roman" w:hAnsi="Times New Roman"/>
          <w:b/>
          <w:i w:val="false"/>
          <w:color w:val="000000"/>
          <w:sz w:val="22"/>
        </w:rPr>
        <w:t xml:space="preserve">Consolidated returns. </w:t>
      </w:r>
      <w:r>
        <w:rPr>
          <w:rFonts w:ascii="Times New Roman" w:hAnsi="Times New Roman"/>
          <w:b w:val="false"/>
          <w:i w:val="false"/>
          <w:color w:val="000000"/>
          <w:sz w:val="22"/>
        </w:rPr>
        <w:t>Two types of permit holders have the option of filing a consolidated return. The first is a permit holder with multiple locations from which taxable sales are made, and the second is certain affiliated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color w:val="000000"/>
          <w:sz w:val="22"/>
        </w:rPr>
        <w:t xml:space="preserve">Permit holders with multiple locations. </w:t>
      </w:r>
      <w:r>
        <w:rPr>
          <w:rFonts w:ascii="Times New Roman" w:hAnsi="Times New Roman"/>
          <w:b w:val="false"/>
          <w:i w:val="false"/>
          <w:color w:val="000000"/>
          <w:sz w:val="22"/>
        </w:rPr>
        <w:t xml:space="preserve">A permit holder procuring more than one permit may file a separate return for each permit, or if a request to consolidate pursuant to Iowa Code section </w:t>
      </w:r>
      <w:hyperlink r:id="rId11">
        <w:r>
          <w:rPr>
            <w:rStyle w:val="Hyperlink"/>
            <w:rFonts w:ascii="Times New Roman" w:hAnsi="Times New Roman"/>
            <w:b w:val="false"/>
            <w:i w:val="false"/>
            <w:color w:val="000000"/>
            <w:sz w:val="22"/>
          </w:rPr>
          <w:t>423.31(4)</w:t>
        </w:r>
      </w:hyperlink>
      <w:r>
        <w:rPr>
          <w:rFonts w:ascii="Times New Roman" w:hAnsi="Times New Roman"/>
          <w:b w:val="false"/>
          <w:i w:val="false"/>
          <w:color w:val="000000"/>
          <w:sz w:val="22"/>
        </w:rPr>
        <w:t xml:space="preserve"> has been approved by the department, the permit holder may file one consolidated return reporting sales made at all locations for which a permit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color w:val="000000"/>
          <w:sz w:val="22"/>
        </w:rPr>
        <w:t xml:space="preserve">Affiliated corporations. </w:t>
      </w:r>
      <w:r>
        <w:rPr>
          <w:rFonts w:ascii="Times New Roman" w:hAnsi="Times New Roman"/>
          <w:b w:val="false"/>
          <w:i w:val="false"/>
          <w:color w:val="000000"/>
          <w:sz w:val="22"/>
        </w:rPr>
        <w:t>Any group consisting of a parent corporation and its affiliates, which is entitled to file a consolidated return for federal income tax purposes and which makes retail sales of tangible personal property, specified digital products, or taxable services, may make an application to the director for permission to file a consolidated Iowa sales tax return.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signed by an officer of the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the business name, address, federal identification number, and Iowa sales and use tax permit number of every corporation seeking the right to file a consolidated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the initial tax period for which the right to file a consolidated return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filed no later than 90 days prior to the beginning of the identified initial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Contain any additional relevant information that the director may, in individual instances,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202.5(3)</w:t>
      </w:r>
      <w:r>
        <w:rPr>
          <w:rFonts w:ascii="Times New Roman" w:hAnsi="Times New Roman"/>
          <w:b w:val="false"/>
          <w:i w:val="false"/>
          <w:color w:val="000000"/>
          <w:sz w:val="22"/>
        </w:rPr>
        <w:t> </w:t>
      </w:r>
      <w:r>
        <w:rPr>
          <w:rFonts w:ascii="Times New Roman" w:hAnsi="Times New Roman"/>
          <w:b w:val="false"/>
          <w:i/>
          <w:color w:val="000000"/>
          <w:sz w:val="22"/>
        </w:rPr>
        <w:t xml:space="preserve">Requirements common to returns filed under this rule. </w:t>
      </w:r>
      <w:r>
        <w:rPr>
          <w:rFonts w:ascii="Times New Roman" w:hAnsi="Times New Roman"/>
          <w:b w:val="false"/>
          <w:i w:val="false"/>
          <w:color w:val="000000"/>
          <w:sz w:val="22"/>
        </w:rPr>
        <w:t xml:space="preserve">The following provisions apply to permit holders filing consolidated returns pursuant to either subrule </w:t>
      </w:r>
      <w:hyperlink r:id="rId12">
        <w:r>
          <w:rPr>
            <w:rStyle w:val="Hyperlink"/>
            <w:rFonts w:ascii="Times New Roman" w:hAnsi="Times New Roman"/>
            <w:b w:val="false"/>
            <w:i w:val="false"/>
            <w:color w:val="000000"/>
            <w:sz w:val="22"/>
          </w:rPr>
          <w:t>202.5(1)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202.5(2)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Proper form. </w:t>
      </w:r>
      <w:r>
        <w:rPr>
          <w:rFonts w:ascii="Times New Roman" w:hAnsi="Times New Roman"/>
          <w:b w:val="false"/>
          <w:i w:val="false"/>
          <w:color w:val="000000"/>
          <w:sz w:val="22"/>
        </w:rPr>
        <w:t>Taxpayers shall file consolidated returns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Working papers. </w:t>
      </w:r>
      <w:r>
        <w:rPr>
          <w:rFonts w:ascii="Times New Roman" w:hAnsi="Times New Roman"/>
          <w:b w:val="false"/>
          <w:i w:val="false"/>
          <w:color w:val="000000"/>
          <w:sz w:val="22"/>
        </w:rPr>
        <w:t>All working papers used in the preparation of the information required to complete the returns must be available for examination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Offsetting collections among affiliates. </w:t>
      </w:r>
      <w:r>
        <w:rPr>
          <w:rFonts w:ascii="Times New Roman" w:hAnsi="Times New Roman"/>
          <w:b w:val="false"/>
          <w:i w:val="false"/>
          <w:color w:val="000000"/>
          <w:sz w:val="22"/>
        </w:rPr>
        <w:t>Undercollections of sales tax at one or more locations or by one or more affiliates shall not be offset by overcollections at other locations or by other affiliates.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701—202.6</w:t>
      </w:r>
      <w:r>
        <w:rPr>
          <w:rFonts w:ascii="Times New Roman" w:hAnsi="Times New Roman"/>
          <w:b/>
          <w:i w:val="false"/>
          <w:color w:val="000000"/>
          <w:sz w:val="22"/>
        </w:rPr>
        <w:t xml:space="preserve">(423) </w:t>
      </w:r>
      <w:r>
        <w:rPr>
          <w:rFonts w:ascii="Times New Roman" w:hAnsi="Times New Roman"/>
          <w:b/>
          <w:i w:val="false"/>
          <w:color w:val="000000"/>
          <w:sz w:val="22"/>
        </w:rPr>
        <w:t xml:space="preserve">Direct pay permits and negotiated rate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color w:val="000000"/>
          <w:sz w:val="22"/>
        </w:rPr>
        <w:t xml:space="preserve">Direct pay permits in general. </w:t>
      </w:r>
      <w:r>
        <w:rPr>
          <w:rFonts w:ascii="Times New Roman" w:hAnsi="Times New Roman"/>
          <w:b w:val="false"/>
          <w:i w:val="false"/>
          <w:color w:val="000000"/>
          <w:sz w:val="22"/>
        </w:rPr>
        <w:t xml:space="preserve">Qualified purchasers, users, and consumers of tangible personal property, specified digital products, or taxable services pursuant to Iowa Code chapter </w:t>
      </w:r>
      <w:hyperlink r:id="rId1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may remit tax owed directly to the department instead of having the tax collected and remitted by the seller. A qualified purchaser, user, or consumer shall not be granted or exercise this direct pay option except upon proper application to the department and only after issuance of the direct pay permit by the director of the department or personnel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a direct pay permit. </w:t>
      </w:r>
      <w:r>
        <w:rPr>
          <w:rFonts w:ascii="Times New Roman" w:hAnsi="Times New Roman"/>
          <w:b w:val="false"/>
          <w:i w:val="false"/>
          <w:color w:val="000000"/>
          <w:sz w:val="22"/>
        </w:rPr>
        <w:t>To qualify for a direct pay permit, an applicant will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purchaser, user, or consumer of tangible personal property, specified digital products, or taxable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accrual of sales and use tax liability of more than $8,000 in a month. A purchaser, user, or consumer may have more than one business location and can combine the sales and use tax liabilities on consumed goods of all locations to meet the requirement of $8,000 in sales and use tax liability in a month to qualify if the records are located in a centralized location. If a purchaser, user, or consumer is combining more than one location, only one direct pay tax return for all of the combined locations needs to be filed with the department. However, local option sales tax should not be included in the tax base for determining qualification for a direct pay permit. If a purchaser, user, or consumer has more than one location, but not all locations wish to remit under a direct pay permit, the purchaser, user, or consumer will need to indicate which locations will be utilizing the direct pay permit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tax and file returns pursuant to Iowa Code section </w:t>
      </w:r>
      <w:hyperlink r:id="rId16">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Paragraph </w:t>
      </w:r>
      <w:hyperlink r:id="rId17">
        <w:r>
          <w:rPr>
            <w:rStyle w:val="Hyperlink"/>
            <w:rFonts w:ascii="Times New Roman" w:hAnsi="Times New Roman"/>
            <w:b w:val="false"/>
            <w:i w:val="false"/>
            <w:color w:val="000000"/>
            <w:sz w:val="22"/>
          </w:rPr>
          <w:t>202.6(1)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contains further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Nonqualifying purchases or uses. </w:t>
      </w:r>
      <w:r>
        <w:rPr>
          <w:rFonts w:ascii="Times New Roman" w:hAnsi="Times New Roman"/>
          <w:b w:val="false"/>
          <w:i w:val="false"/>
          <w:color w:val="000000"/>
          <w:sz w:val="22"/>
        </w:rPr>
        <w:t xml:space="preserve">The granting of a direct pay permit is not allowed for any of the imposed taxes listed in Iowa Code section </w:t>
      </w:r>
      <w:hyperlink r:id="rId18">
        <w:r>
          <w:rPr>
            <w:rStyle w:val="Hyperlink"/>
            <w:rFonts w:ascii="Times New Roman" w:hAnsi="Times New Roman"/>
            <w:b w:val="false"/>
            <w:i w:val="false"/>
            <w:color w:val="000000"/>
            <w:sz w:val="22"/>
          </w:rPr>
          <w:t>423.36(9)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permit information. </w:t>
      </w:r>
      <w:r>
        <w:rPr>
          <w:rFonts w:ascii="Times New Roman" w:hAnsi="Times New Roman"/>
          <w:b w:val="false"/>
          <w:i w:val="false"/>
          <w:color w:val="000000"/>
          <w:sz w:val="22"/>
        </w:rPr>
        <w:t xml:space="preserve">To obtain a direct pay permit, a purchaser, user, or consumer will fully and properly complete an application form prescribed by the director and provide certification that the purchaser, user, or consumer has paid sales and use tax to the department or vendors over the last two years prior to application, an average of $8,000 in a month. Upon approval, the director or personnel authorized by the director will issue a direct pay permit to qualifying applicants. The direct pay permit will contain direct pay permit identifying information, including a direct pay permit identification number. The direct pay permit should be retained by the permit holder. When purchasing from a vendor, a permit holder should give the vendor a certificate of exemption containing the information as set forth in rule </w:t>
      </w:r>
      <w:hyperlink r:id="rId19">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Remittance and reporting. </w:t>
      </w:r>
      <w:r>
        <w:rPr>
          <w:rFonts w:ascii="Times New Roman" w:hAnsi="Times New Roman"/>
          <w:b w:val="false"/>
          <w:i w:val="false"/>
          <w:color w:val="000000"/>
          <w:sz w:val="22"/>
        </w:rPr>
        <w:t xml:space="preserve">Direct pay permit holders shall remit and report sales, use, and local option sales tax on a monthly basis. Remittance of tax due under a direct pay permit will begin with the first month after the direct pay permit is issued to the holder. The tax to be paid under a direct pay permit shall be remitted directly to the department by electronic funds transfer (EFT) only. A permit holder need not have remitted by EFT prior to obtaining a direct pay permit to qualify for such a permit. However, a permit holder must remit taxes due by EFT for transactions entered into on or after the date the permit is issued. All local option sales tax due must be reported and remitted at the same time as the sales and use taxes due under the direct pay permit for the corresponding tax period. However, local option sales tax should not be included in the tax base for determining qualification for a direct pay permit or frequency of remittance. Reports should be filed with the department on a monthly basis. The director may, when necessary and advisable in order to secure the collection of tax due, require an applicant for a direct pay permit or a permit holder to file with the director a qualified surety bond as set forth in Iowa Code section </w:t>
      </w:r>
      <w:hyperlink r:id="rId20">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 permit holder who fails to report or remit any tax when due is subject to the penalty and interest provisions set forth in Iowa Code section </w:t>
      </w:r>
      <w:hyperlink r:id="rId21">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Permit revocation and nontransferability. </w:t>
      </w:r>
      <w:r>
        <w:rPr>
          <w:rFonts w:ascii="Times New Roman" w:hAnsi="Times New Roman"/>
          <w:b w:val="false"/>
          <w:i w:val="false"/>
          <w:color w:val="000000"/>
          <w:sz w:val="22"/>
        </w:rPr>
        <w:t xml:space="preserve">A direct pay permit may be used indefinitely unless it is revoked by the department. A direct pay permit is not transferable and cannot be assigned to a third party. The department may revoke a direct pay permit at any time the permit holder fails to meet the requirements for a direct pay permit, misuses the direct pay permit, or fails to comply with the provisions in Iowa Code section </w:t>
      </w:r>
      <w:hyperlink r:id="rId22">
        <w:r>
          <w:rPr>
            <w:rStyle w:val="Hyperlink"/>
            <w:rFonts w:ascii="Times New Roman" w:hAnsi="Times New Roman"/>
            <w:b w:val="false"/>
            <w:i w:val="false"/>
            <w:color w:val="000000"/>
            <w:sz w:val="22"/>
          </w:rPr>
          <w:t>423.36(9)</w:t>
        </w:r>
      </w:hyperlink>
      <w:r>
        <w:rPr>
          <w:rFonts w:ascii="Times New Roman" w:hAnsi="Times New Roman"/>
          <w:b w:val="false"/>
          <w:i w:val="false"/>
          <w:color w:val="000000"/>
          <w:sz w:val="22"/>
        </w:rPr>
        <w:t>. If a direct pay permit is revoked, it is the responsibility of the prior holder of the permit to inform all vendors of the revocation so the vendors may begin to collect tax at the time of purchase. A prior permit holder is responsible for any tax, penalty, and interest due for failure to notify a vendor of revocation of a direct pay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 Recordkeeping requirements. </w:t>
      </w:r>
      <w:r>
        <w:rPr>
          <w:rFonts w:ascii="Times New Roman" w:hAnsi="Times New Roman"/>
          <w:b w:val="false"/>
          <w:i w:val="false"/>
          <w:color w:val="000000"/>
          <w:sz w:val="22"/>
        </w:rPr>
        <w:t>The parties involved in transactions involving a direct pay permit shall have the following recordkeeping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holder. The holder of a direct pay permit will retain possession of the direct pay permit and keep a record of all transactions made pursuant to the direct pay permit in compliance with rule </w:t>
      </w:r>
      <w:hyperlink r:id="rId23">
        <w:r>
          <w:rPr>
            <w:rStyle w:val="Hyperlink"/>
            <w:rFonts w:ascii="Times New Roman" w:hAnsi="Times New Roman"/>
            <w:b w:val="false"/>
            <w:i w:val="false"/>
            <w:color w:val="000000"/>
            <w:sz w:val="22"/>
          </w:rPr>
          <w:t>701—11.3</w:t>
        </w:r>
      </w:hyperlink>
      <w:r>
        <w:rPr>
          <w:rFonts w:ascii="Times New Roman" w:hAnsi="Times New Roman"/>
          <w:b w:val="false"/>
          <w:i w:val="false"/>
          <w:color w:val="000000"/>
          <w:sz w:val="22"/>
        </w:rPr>
        <w:t>(321,421,423,452A,453A).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Vendor. A vendor will retain a valid exemption certificate under rule </w:t>
      </w:r>
      <w:hyperlink r:id="rId24">
        <w:r>
          <w:rPr>
            <w:rStyle w:val="Hyperlink"/>
            <w:rFonts w:ascii="Times New Roman" w:hAnsi="Times New Roman"/>
            <w:b w:val="false"/>
            <w:i w:val="false"/>
            <w:color w:val="000000"/>
            <w:sz w:val="22"/>
          </w:rPr>
          <w:t>701—209.1</w:t>
        </w:r>
      </w:hyperlink>
      <w:r>
        <w:rPr>
          <w:rFonts w:ascii="Times New Roman" w:hAnsi="Times New Roman"/>
          <w:b w:val="false"/>
          <w:i w:val="false"/>
          <w:color w:val="000000"/>
          <w:sz w:val="22"/>
        </w:rPr>
        <w:t xml:space="preserve">(423) that is received from the direct pay permit holder and retain records of all transactions engaged in with the permit holder in which tax was not collected, in compliance with rule </w:t>
      </w:r>
      <w:hyperlink r:id="rId25">
        <w:r>
          <w:rPr>
            <w:rStyle w:val="Hyperlink"/>
            <w:rFonts w:ascii="Times New Roman" w:hAnsi="Times New Roman"/>
            <w:b w:val="false"/>
            <w:i w:val="false"/>
            <w:color w:val="000000"/>
            <w:sz w:val="22"/>
          </w:rPr>
          <w:t>701—11.3</w:t>
        </w:r>
      </w:hyperlink>
      <w:r>
        <w:rPr>
          <w:rFonts w:ascii="Times New Roman" w:hAnsi="Times New Roman"/>
          <w:b w:val="false"/>
          <w:i w:val="false"/>
          <w:color w:val="000000"/>
          <w:sz w:val="22"/>
        </w:rPr>
        <w:t xml:space="preserve">(321,421,423,452A,453A). A vendor’s liability for uncollected tax is governed by the liability provisions of a seller under an exemption certificate set forth in rule </w:t>
      </w:r>
      <w:hyperlink r:id="rId26">
        <w:r>
          <w:rPr>
            <w:rStyle w:val="Hyperlink"/>
            <w:rFonts w:ascii="Times New Roman" w:hAnsi="Times New Roman"/>
            <w:b w:val="false"/>
            <w:i w:val="false"/>
            <w:color w:val="000000"/>
            <w:sz w:val="22"/>
          </w:rPr>
          <w:t>701—209.1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color w:val="000000"/>
          <w:sz w:val="22"/>
        </w:rPr>
        <w:t xml:space="preserve">Negotiated rate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Any person who has been issued or who has applied for a direct pay permit may request the department to enter into a negotiated rate agreement with the permit holder or applicant. These agreements are negotiated on a case-by-case basis and, if approved by the department, allow a direct pay permit holder to pay the state sales, local option sales, or use tax on a basis calculated by agreement between the direct pay permit holder and the department. Negotiated rate agreements are not applicable to sales and use taxes set out in paragraph </w:t>
      </w:r>
      <w:hyperlink r:id="rId27">
        <w:r>
          <w:rPr>
            <w:rStyle w:val="Hyperlink"/>
            <w:rFonts w:ascii="Times New Roman" w:hAnsi="Times New Roman"/>
            <w:b w:val="false"/>
            <w:i w:val="false"/>
            <w:color w:val="000000"/>
            <w:sz w:val="22"/>
          </w:rPr>
          <w:t>202.6(1)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no negotiated rate agreement is effective for any period during which a taxpayer who is a signatory to the agreement is not a direct pay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All negotiated rate agreements shall contain the following information or an explanation for its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taxpayer who has entered into the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title of each person signing the agreement and the name, telephone or fax number, and email or physical address of at least one person to be contacted if questions regarding the agreement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agreement is in effect, the renewal or extension rights (if any) of each party, and the effective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negotiated rate or rates, the classes of sales or uses to which each separate rate is applicable, any items that will be excluded from the agreement, and any circumstances that will result in a changed rate or rates or changed composition of classes to which rates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Actions or circumstances that render the agreement void, or voidable at the option of either party, and the time frame in which the agreement will be 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Rights, if any, of the parties to resort to mediation 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explanation of the department’s right to audit aspects of the agreement, including any right to audit remaining after the agreement’s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conditions by which the agreement may be terminated and the effective date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methodology used to determine the negotiated rate and any schedules needed to verify percentages.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matter deemed necessary to the parties’ mutual understanding of the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701—202.7</w:t>
      </w:r>
      <w:r>
        <w:rPr>
          <w:rFonts w:ascii="Times New Roman" w:hAnsi="Times New Roman"/>
          <w:b/>
          <w:i w:val="false"/>
          <w:color w:val="000000"/>
          <w:sz w:val="22"/>
        </w:rPr>
        <w:t xml:space="preserve">(423) </w:t>
      </w:r>
      <w:r>
        <w:rPr>
          <w:rFonts w:ascii="Times New Roman" w:hAnsi="Times New Roman"/>
          <w:b/>
          <w:i w:val="false"/>
          <w:color w:val="000000"/>
          <w:sz w:val="22"/>
        </w:rPr>
        <w:t xml:space="preserve">Regular permit holders responsible for collection of tax. </w:t>
      </w:r>
      <w:r>
        <w:rPr>
          <w:rFonts w:ascii="Times New Roman" w:hAnsi="Times New Roman"/>
          <w:b w:val="false"/>
          <w:i w:val="false"/>
          <w:color w:val="000000"/>
          <w:sz w:val="22"/>
        </w:rPr>
        <w:t>A permit holder may operate by selling merchandise by trucks, canvassers, or itinerant salespeople over fixed routes within the county in which the permanent place of business is located or other counties in this state. When this occurs, the permit holder is liable for reporting and paying tax on these sales. The person doing the selling for the permit holder shall be required to have a form, either in possession or in the vehicle, that authorizes that person to collect tax. This form is obtained from the department and shall contain the name, address, and permit number of the retailer according to the records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701—202.8</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202.8(1)</w:t>
      </w:r>
      <w:r>
        <w:rPr>
          <w:rFonts w:ascii="Times New Roman" w:hAnsi="Times New Roman"/>
          <w:b w:val="false"/>
          <w:i w:val="false"/>
          <w:color w:val="000000"/>
          <w:sz w:val="22"/>
        </w:rPr>
        <w:t> </w:t>
      </w:r>
      <w:r>
        <w:rPr>
          <w:rFonts w:ascii="Times New Roman" w:hAnsi="Times New Roman"/>
          <w:b w:val="false"/>
          <w:i/>
          <w:color w:val="000000"/>
          <w:sz w:val="22"/>
        </w:rPr>
        <w:t xml:space="preserve">Final return due. </w:t>
      </w:r>
      <w:r>
        <w:rPr>
          <w:rFonts w:ascii="Times New Roman" w:hAnsi="Times New Roman"/>
          <w:b w:val="false"/>
          <w:i w:val="false"/>
          <w:color w:val="000000"/>
          <w:sz w:val="22"/>
        </w:rPr>
        <w:t>A retailer selling the business shall file a return within the succeeding month and pay all tax due. Any unpaid tax shall be due prior to the transfer of title of any personal property to the purchaser, and the tax becomes delinquent one month after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202.8(2)</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A retailer discontinuing business shall maintain the business’s records for a period of five years from the date of discontinuing the business unless a release from this provision is given by the department. </w:t>
      </w:r>
      <w:hyperlink r:id="rId31">
        <w:r>
          <w:rPr>
            <w:rStyle w:val="Hyperlink"/>
            <w:rFonts w:ascii="Times New Roman" w:hAnsi="Times New Roman"/>
            <w:b w:val="false"/>
            <w:i w:val="false"/>
            <w:color w:val="000000"/>
            <w:sz w:val="22"/>
          </w:rPr>
          <w:t>701—subrule 285.28(2)</w:t>
        </w:r>
      </w:hyperlink>
      <w:r>
        <w:rPr>
          <w:rFonts w:ascii="Times New Roman" w:hAnsi="Times New Roman"/>
          <w:b w:val="false"/>
          <w:i w:val="false"/>
          <w:color w:val="000000"/>
          <w:sz w:val="22"/>
        </w:rPr>
        <w:t xml:space="preserve"> provides for possible sales and use tax consequences relating to the sale of a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701—202.9</w:t>
      </w:r>
      <w:r>
        <w:rPr>
          <w:rFonts w:ascii="Times New Roman" w:hAnsi="Times New Roman"/>
          <w:b/>
          <w:i w:val="false"/>
          <w:color w:val="000000"/>
          <w:sz w:val="22"/>
        </w:rPr>
        <w:t xml:space="preserve">(423) </w:t>
      </w:r>
      <w:r>
        <w:rPr>
          <w:rFonts w:ascii="Times New Roman" w:hAnsi="Times New Roman"/>
          <w:b/>
          <w:i w:val="false"/>
          <w:color w:val="000000"/>
          <w:sz w:val="22"/>
        </w:rPr>
        <w:t xml:space="preserve">Bankruptcy, insolvency, or assignment for benefit of creditors. </w:t>
      </w:r>
      <w:r>
        <w:rPr>
          <w:rFonts w:ascii="Times New Roman" w:hAnsi="Times New Roman"/>
          <w:b w:val="false"/>
          <w:i w:val="false"/>
          <w:color w:val="000000"/>
          <w:sz w:val="22"/>
        </w:rPr>
        <w:t>In cases of bankruptcy, insolvency or assignment for the benefit of creditors by the taxpayer, the taxpayer shall immediately file a return with the tax being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701—202.10</w:t>
      </w:r>
      <w:r>
        <w:rPr>
          <w:rFonts w:ascii="Times New Roman" w:hAnsi="Times New Roman"/>
          <w:b/>
          <w:i w:val="false"/>
          <w:color w:val="000000"/>
          <w:sz w:val="22"/>
        </w:rPr>
        <w:t xml:space="preserve">(423) </w:t>
      </w:r>
      <w:r>
        <w:rPr>
          <w:rFonts w:ascii="Times New Roman" w:hAnsi="Times New Roman"/>
          <w:b/>
          <w:i w:val="false"/>
          <w:color w:val="000000"/>
          <w:sz w:val="22"/>
        </w:rPr>
        <w:t xml:space="preserve">Vending machines and other coin-operated devices. </w:t>
      </w:r>
      <w:r>
        <w:rPr>
          <w:rFonts w:ascii="Times New Roman" w:hAnsi="Times New Roman"/>
          <w:b w:val="false"/>
          <w:i w:val="false"/>
          <w:color w:val="000000"/>
          <w:sz w:val="22"/>
        </w:rPr>
        <w:t xml:space="preserve">An operator who places machines on location shall file a return that includes the sales price from sales from all machines or devices operated by the retailer in Iowa during the tax period covered by the return. The mandatory beverage container deposit required under the provisions of Iowa Code chapter </w:t>
      </w:r>
      <w:hyperlink r:id="rId34">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xml:space="preserve"> shall not be considered part of the sales price.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701—202.11</w:t>
      </w:r>
      <w:r>
        <w:rPr>
          <w:rFonts w:ascii="Times New Roman" w:hAnsi="Times New Roman"/>
          <w:b/>
          <w:i w:val="false"/>
          <w:color w:val="000000"/>
          <w:sz w:val="22"/>
        </w:rPr>
        <w:t xml:space="preserve">(423) </w:t>
      </w:r>
      <w:r>
        <w:rPr>
          <w:rFonts w:ascii="Times New Roman" w:hAnsi="Times New Roman"/>
          <w:b/>
          <w:i w:val="false"/>
          <w:color w:val="000000"/>
          <w:sz w:val="22"/>
        </w:rPr>
        <w:t xml:space="preserve">Claim for refund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refund; filing claims. </w:t>
      </w:r>
      <w:r>
        <w:rPr>
          <w:rFonts w:ascii="Times New Roman" w:hAnsi="Times New Roman"/>
          <w:b w:val="false"/>
          <w:i w:val="false"/>
          <w:color w:val="000000"/>
          <w:sz w:val="22"/>
        </w:rPr>
        <w:t>Refunds of tax shall be made only to those who have actually paid the tax. A person or persons may designate the retailer who collects the tax as an agent for purposes of receiving a refund of tax. A person or persons who claim a refund shall prepare and file the claim on Form IA 843, Refund Return, with the department, stating in detail the reasons and facts and, if necessary, provide supporting documents for which the claim for refund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202.11(2)</w:t>
      </w:r>
      <w:r>
        <w:rPr>
          <w:rFonts w:ascii="Times New Roman" w:hAnsi="Times New Roman"/>
          <w:b w:val="false"/>
          <w:i w:val="false"/>
          <w:color w:val="000000"/>
          <w:sz w:val="22"/>
        </w:rPr>
        <w:t> </w:t>
      </w:r>
      <w:r>
        <w:rPr>
          <w:rFonts w:ascii="Times New Roman" w:hAnsi="Times New Roman"/>
          <w:b w:val="false"/>
          <w:i/>
          <w:color w:val="000000"/>
          <w:sz w:val="22"/>
        </w:rPr>
        <w:t xml:space="preserve">Denial of refund claim—appeal. </w:t>
      </w:r>
      <w:r>
        <w:rPr>
          <w:rFonts w:ascii="Times New Roman" w:hAnsi="Times New Roman"/>
          <w:b w:val="false"/>
          <w:i w:val="false"/>
          <w:color w:val="000000"/>
          <w:sz w:val="22"/>
        </w:rPr>
        <w:t xml:space="preserve">If the claim for refund is denied, and the person wishes to appeal the denial, the department will consider an appeal to be timely if filed no later than 60 days following the date of denial. Rule </w:t>
      </w:r>
      <w:hyperlink r:id="rId37">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more information on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202.11(3)</w:t>
      </w:r>
      <w:r>
        <w:rPr>
          <w:rFonts w:ascii="Times New Roman" w:hAnsi="Times New Roman"/>
          <w:b w:val="false"/>
          <w:i w:val="false"/>
          <w:color w:val="000000"/>
          <w:sz w:val="22"/>
        </w:rPr>
        <w:t> </w:t>
      </w:r>
      <w:r>
        <w:rPr>
          <w:rFonts w:ascii="Times New Roman" w:hAnsi="Times New Roman"/>
          <w:b w:val="false"/>
          <w:i/>
          <w:color w:val="000000"/>
          <w:sz w:val="22"/>
        </w:rPr>
        <w:t xml:space="preserve">Request for abeyance. </w:t>
      </w:r>
      <w:r>
        <w:rPr>
          <w:rFonts w:ascii="Times New Roman" w:hAnsi="Times New Roman"/>
          <w:b w:val="false"/>
          <w:i w:val="false"/>
          <w:color w:val="000000"/>
          <w:sz w:val="22"/>
        </w:rPr>
        <w:t xml:space="preserve">When a person is in a position of believing that the tax, penalty, or interest paid or to be paid will be found not to be due at some later date, then in order to prevent the statute of limitations from running out, a claim for refund or credit must be filed with the department within the statutory period provided for in Iowa Code section </w:t>
      </w:r>
      <w:hyperlink r:id="rId38">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The claim must be filed requesting that it be held in abeyance pending the outcome of any action that will have a direct effect on the tax, penalty, or interest involved. Nonexclusive examples of such action are court decisions, departmental orders and rulings, and commerce commission decisions.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 an Iowa sales tax permit holder, is audited by the department for the period from July 1, 2014, to June 30, 2017. A $10,000 tax, penalty, and interest liability is assessed on materials the department determines are not used in processing. X does not agree with the department’s position but still pays the full liability even though X is aware of pending litigation involving the materials taxed in the audit.</w:t>
      </w:r>
    </w:p>
    <w:p>
      <w:pPr>
        <w:spacing w:before="0" w:after="0"/>
        <w:ind w:left="120"/>
        <w:jc w:val="both"/>
      </w:pPr>
      <w:r>
        <w:rPr>
          <w:rFonts w:ascii="Times New Roman" w:hAnsi="Times New Roman"/>
          <w:b w:val="false"/>
          <w:i w:val="false"/>
          <w:color w:val="000000"/>
          <w:sz w:val="22"/>
        </w:rPr>
        <w:t>Y is audited for the same period involving identical materials used to those taxed in the audit of X. However, Y, rather than paying the assessment, takes the department through litigation and wins. The final litigation is not completed until September 30, 2023.</w:t>
      </w:r>
    </w:p>
    <w:p>
      <w:pPr>
        <w:spacing w:before="0" w:after="0"/>
        <w:ind w:left="120"/>
        <w:jc w:val="both"/>
      </w:pPr>
      <w:r>
        <w:rPr>
          <w:rFonts w:ascii="Times New Roman" w:hAnsi="Times New Roman"/>
          <w:b w:val="false"/>
          <w:i w:val="false"/>
          <w:color w:val="000000"/>
          <w:sz w:val="22"/>
        </w:rPr>
        <w:t>X, on October 1, 2023, upon finding out about the decision of Y’s case, files a claim for refund relating to its audit completed in June 2017. The claim will be totally denied as beyond the three-year statute of limitations. However, if X had filed a claim along with payment of its audit in June 2017, and requested that the claim be held in abeyance pending Y’s litigation, then X would have received a full refund of its audit liability if the decision in Y’s case was also applicable to 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 is audited by the department for the period from July 1, 2015, to June 30, 2018, and assessed July 31, 2018. X pays the assessment on December 31, 2018. No protest was filed, and no claim for refund or credit was filed requesting it be held in abeyance. On January 31, 2020, X files a claim for refund relating to the entire audit. The claim is based on a recent court decision that makes the tax liability paid by X now refundable. However, only the tax paid from January 1, 2017, through June 30, 2018, will be allowed since this is the only portion within the three-year statute of limitations set forth in Iowa Code section </w:t>
      </w:r>
      <w:hyperlink r:id="rId39">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If the claim had been filed on or before December 31, 2019, then the entire audit period could have been considered for refund since the claim would have been filed within one year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202.11(4)</w:t>
      </w:r>
      <w:r>
        <w:rPr>
          <w:rFonts w:ascii="Times New Roman" w:hAnsi="Times New Roman"/>
          <w:b w:val="false"/>
          <w:i w:val="false"/>
          <w:color w:val="000000"/>
          <w:sz w:val="22"/>
        </w:rPr>
        <w:t> </w:t>
      </w:r>
      <w:r>
        <w:rPr>
          <w:rFonts w:ascii="Times New Roman" w:hAnsi="Times New Roman"/>
          <w:b w:val="false"/>
          <w:i/>
          <w:color w:val="000000"/>
          <w:sz w:val="22"/>
        </w:rPr>
        <w:t xml:space="preserve">Refund of use tax. </w:t>
      </w:r>
      <w:r>
        <w:rPr>
          <w:rFonts w:ascii="Times New Roman" w:hAnsi="Times New Roman"/>
          <w:b w:val="false"/>
          <w:i w:val="false"/>
          <w:color w:val="000000"/>
          <w:sz w:val="22"/>
        </w:rPr>
        <w:t xml:space="preserve">A taxpayer will need to file an amended return in order to claim a refund of use tax. A taxpayer cannot use Form IA 843, Refund Return, to claim this refund.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701—202.12</w:t>
      </w:r>
      <w:r>
        <w:rPr>
          <w:rFonts w:ascii="Times New Roman" w:hAnsi="Times New Roman"/>
          <w:b/>
          <w:i w:val="false"/>
          <w:color w:val="000000"/>
          <w:sz w:val="22"/>
        </w:rPr>
        <w:t xml:space="preserve">(423) </w:t>
      </w:r>
      <w:r>
        <w:rPr>
          <w:rFonts w:ascii="Times New Roman" w:hAnsi="Times New Roman"/>
          <w:b/>
          <w:i w:val="false"/>
          <w:color w:val="000000"/>
          <w:sz w:val="22"/>
        </w:rPr>
        <w:t xml:space="preserve">Immediate successor liability for unpaid tax. </w:t>
      </w:r>
      <w:r>
        <w:rPr>
          <w:rFonts w:ascii="Times New Roman" w:hAnsi="Times New Roman"/>
          <w:b w:val="false"/>
          <w:i w:val="false"/>
          <w:color w:val="000000"/>
          <w:sz w:val="22"/>
        </w:rPr>
        <w:t xml:space="preserve">To ensure all sales or use tax due is paid, Iowa Code section </w:t>
      </w:r>
      <w:hyperlink r:id="rId42">
        <w:r>
          <w:rPr>
            <w:rStyle w:val="Hyperlink"/>
            <w:rFonts w:ascii="Times New Roman" w:hAnsi="Times New Roman"/>
            <w:b w:val="false"/>
            <w:i w:val="false"/>
            <w:color w:val="000000"/>
            <w:sz w:val="22"/>
          </w:rPr>
          <w:t>423.33(2)</w:t>
        </w:r>
      </w:hyperlink>
      <w:r>
        <w:rPr>
          <w:rFonts w:ascii="Times New Roman" w:hAnsi="Times New Roman"/>
          <w:b w:val="false"/>
          <w:i w:val="false"/>
          <w:color w:val="000000"/>
          <w:sz w:val="22"/>
        </w:rPr>
        <w:t xml:space="preserve"> applies to a retailer selling the retailer’s business or stock of goods or ceasing the retailer’s business and the immediate successor. For the purpose of this rule, “retailer” includes all persons liable for tax under Iowa Code sections </w:t>
      </w:r>
      <w:hyperlink r:id="rId43">
        <w:r>
          <w:rPr>
            <w:rStyle w:val="Hyperlink"/>
            <w:rFonts w:ascii="Times New Roman" w:hAnsi="Times New Roman"/>
            <w:b w:val="false"/>
            <w:i w:val="false"/>
            <w:color w:val="000000"/>
            <w:sz w:val="22"/>
          </w:rPr>
          <w:t>421.26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202.12(1)</w:t>
      </w:r>
      <w:r>
        <w:rPr>
          <w:rFonts w:ascii="Times New Roman" w:hAnsi="Times New Roman"/>
          <w:b w:val="false"/>
          <w:i w:val="false"/>
          <w:color w:val="000000"/>
          <w:sz w:val="22"/>
        </w:rPr>
        <w:t> </w:t>
      </w:r>
      <w:r>
        <w:rPr>
          <w:rFonts w:ascii="Times New Roman" w:hAnsi="Times New Roman"/>
          <w:b w:val="false"/>
          <w:i/>
          <w:color w:val="000000"/>
          <w:sz w:val="22"/>
        </w:rPr>
        <w:t xml:space="preserve">Immediate successors having a duty to withhold.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successor who, pursuant to a contract of sale, pays a purchase price to a retailer in return for the transfer of a going business or a stock of goods is obligated to inquire if tax, penalty, or interest is due and to withhold a portion of the purchase price to pay the delinquent tax, penalty, or interest, if necessary. “Immediate successor” includes but is not limited to the following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entity resulting from the action of a sole proprietor who organizes a business in which the sole proprietor is the only or the controlling stakeholder.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sole proprietorship established from an entity of which the sole proprietor was the exclusive, majority, or controlling stakeholder.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202.12(2)</w:t>
      </w:r>
      <w:r>
        <w:rPr>
          <w:rFonts w:ascii="Times New Roman" w:hAnsi="Times New Roman"/>
          <w:b w:val="false"/>
          <w:i w:val="false"/>
          <w:color w:val="000000"/>
          <w:sz w:val="22"/>
        </w:rPr>
        <w:t> </w:t>
      </w:r>
      <w:r>
        <w:rPr>
          <w:rFonts w:ascii="Times New Roman" w:hAnsi="Times New Roman"/>
          <w:b w:val="false"/>
          <w:i/>
          <w:color w:val="000000"/>
          <w:sz w:val="22"/>
        </w:rPr>
        <w:t xml:space="preserve">More than one immediate successor. </w:t>
      </w:r>
      <w:r>
        <w:rPr>
          <w:rFonts w:ascii="Times New Roman" w:hAnsi="Times New Roman"/>
          <w:b w:val="false"/>
          <w:i w:val="false"/>
          <w:color w:val="000000"/>
          <w:sz w:val="22"/>
        </w:rPr>
        <w:t>If a retailer sells a business or stock of goods to two or more persons,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 to two or more persons. </w:t>
      </w:r>
      <w:r>
        <w:rPr>
          <w:rFonts w:ascii="Times New Roman" w:hAnsi="Times New Roman"/>
          <w:b w:val="false"/>
          <w:i w:val="false"/>
          <w:color w:val="000000"/>
          <w:sz w:val="22"/>
        </w:rPr>
        <w:t xml:space="preserve">If a retailer sells a substantial portion of the business or the retail business’s stock of goods to another person who will in turn offer those goods for sale in a retail business, that person or persons are immediate successors that are jointly and severally liable.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of differing places of business. </w:t>
      </w:r>
      <w:r>
        <w:rPr>
          <w:rFonts w:ascii="Times New Roman" w:hAnsi="Times New Roman"/>
          <w:b w:val="false"/>
          <w:i w:val="false"/>
          <w:color w:val="000000"/>
          <w:sz w:val="22"/>
        </w:rPr>
        <w:t>If one retailer owns two or more places of business, each having a separate sales tax permit, each location having its own permit is a separate business and has a separate stock of goods for the purpose of determining successor liability. A person purchasing the business at one location or the stock of goods from one location would be personally liable only for the tax owed under the permit assigned to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202.12(3)</w:t>
      </w:r>
      <w:r>
        <w:rPr>
          <w:rFonts w:ascii="Times New Roman" w:hAnsi="Times New Roman"/>
          <w:b w:val="false"/>
          <w:i w:val="false"/>
          <w:color w:val="000000"/>
          <w:sz w:val="22"/>
        </w:rPr>
        <w:t> </w:t>
      </w:r>
      <w:r>
        <w:rPr>
          <w:rFonts w:ascii="Times New Roman" w:hAnsi="Times New Roman"/>
          <w:b w:val="false"/>
          <w:i/>
          <w:color w:val="000000"/>
          <w:sz w:val="22"/>
        </w:rPr>
        <w:t xml:space="preserve">Sale of a retailer’s business. </w:t>
      </w:r>
      <w:r>
        <w:rPr>
          <w:rFonts w:ascii="Times New Roman" w:hAnsi="Times New Roman"/>
          <w:b w:val="false"/>
          <w:i w:val="false"/>
          <w:color w:val="000000"/>
          <w:sz w:val="22"/>
        </w:rPr>
        <w:t>Usually, the sale of only the machinery or equipment used in a business without the sale or leasing of the realty of the business is not a sale of the business itself. The transfer of a retailer’s machinery or equipment and business realty to a person who continues to use the machinery, equipment, and realty for the sale of any type of tangible personal property or specified digital products constitutes the selling of the retailer’s business, and the person to whom the business is sold is an immediate successor and liable for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is a furniture dealer. A sells the stock of goods (the furniture offered for sale) to B. A then sells the furniture store (business realty) to C. A also sells C the office equipment and all other tangible personal property and specified digital products used in the operation of the furniture store except for the stock of goods (furniture). C then uses the purchased store and the office equipment in the operation of a sporting goods store. B takes the furniture purchased from A to B’s furniture store where it is sold. A owed the department $7,000 in sales tax. Both B and C are immediate successors to A and personally liable for the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202.12(4)</w:t>
      </w:r>
      <w:r>
        <w:rPr>
          <w:rFonts w:ascii="Times New Roman" w:hAnsi="Times New Roman"/>
          <w:b w:val="false"/>
          <w:i w:val="false"/>
          <w:color w:val="000000"/>
          <w:sz w:val="22"/>
        </w:rPr>
        <w:t> </w:t>
      </w:r>
      <w:r>
        <w:rPr>
          <w:rFonts w:ascii="Times New Roman" w:hAnsi="Times New Roman"/>
          <w:b w:val="false"/>
          <w:i/>
          <w:color w:val="000000"/>
          <w:sz w:val="22"/>
        </w:rPr>
        <w:t xml:space="preserve">Good faith. </w:t>
      </w:r>
      <w:r>
        <w:rPr>
          <w:rFonts w:ascii="Times New Roman" w:hAnsi="Times New Roman"/>
          <w:b w:val="false"/>
          <w:i w:val="false"/>
          <w:color w:val="000000"/>
          <w:sz w:val="22"/>
        </w:rPr>
        <w:t xml:space="preserve">An immediate successor to a licensee’s, retailer’s, or seller’s business or stock of goods has purchased the licensee’s, retailer’s, or seller’s business or stock of goods in good faith that no delinquent tax, interest, or penalty was due and unpaid if the immediate successor demonstrates, by suitable evidence, that one of the following situations exists.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provided the immediate successor with a certified statement that no delinquent tax, interest, or penalty is unpaid. Immediate successors shall not rely upon oral statements from department personnel that no tax, interest, or penalty is unpaid. An immediate successor may request a certified statement from the department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issuing a certified statement, the department may contact both the immediate successor and the licensee, retailer, or seller regarding the request for a certified statement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statement provided by the department will be recognized by the department as valid as of the issuance of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statement provided by the department is the preferred evidence that a purchase of a business or stock of goods was made in good faith and that no delinquent tax, interest, or penalty was due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immediate successor has taken in good faith a certified statement from the licensee, retailer, or seller that no delinquent tax, interest, or penalty is unpaid as of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statement” from a licensee, retailer, or seller is a statement the truth of which is attested to before a notary public. A certified statement from a licensee, retailer, or seller will not be recognized by the department as valid unless it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business being purchased or a description of the stock of goods being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of the licensee, retailer, or seller and the prospective purchaser(s).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 identification numbers of both the licensee, retailer, or seller and prospective purchaser(s). Entities shall include a federal employer identification number (FEIN). Individuals shall include a social security number (SSN) or individual tax identification number (ITIN).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attestation signed by the licensee, retailer, or seller attesting that no delinquent tax, interest, or penalty of the retailer is unpaid as of the date of the closing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statement has been taken from a licensee, retailer, or seller “in good faith” if the immediate successor, in the exercise of due diligence, had no reason to believe a retailer’s statement was false or no reason to question the truth of the retailer’s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421.28</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701—202.13</w:t>
      </w:r>
      <w:r>
        <w:rPr>
          <w:rFonts w:ascii="Times New Roman" w:hAnsi="Times New Roman"/>
          <w:b/>
          <w:i w:val="false"/>
          <w:color w:val="000000"/>
          <w:sz w:val="22"/>
        </w:rPr>
        <w:t xml:space="preserve">(423) </w:t>
      </w:r>
      <w:r>
        <w:rPr>
          <w:rFonts w:ascii="Times New Roman" w:hAnsi="Times New Roman"/>
          <w:b/>
          <w:i w:val="false"/>
          <w:color w:val="000000"/>
          <w:sz w:val="22"/>
        </w:rPr>
        <w:t xml:space="preserve">Officers and partners—personal liability for unpaid tax. </w:t>
      </w:r>
      <w:r>
        <w:rPr>
          <w:rFonts w:ascii="Times New Roman" w:hAnsi="Times New Roman"/>
          <w:b w:val="false"/>
          <w:i w:val="false"/>
          <w:color w:val="000000"/>
          <w:sz w:val="22"/>
        </w:rPr>
        <w:t>If a retailer or purchaser fails to pay sales tax when due, any officer of a corporation or association, or any partner of a partnership, who has control of, supervision of, or the authority for remitting the sales tax payments and has a substantial legal or equitable interest in the ownership of the corporation or partnership is personally liable for payment of the tax, interest, and penalty if the failure to pay the tax is intentional. This personal liability is not applicable to sales tax due and unpaid on accounts receivable. The dissolution of a corporation, association, or partnership does not discharge a responsible person’s liability for failure to pay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202.13(1)</w:t>
      </w:r>
      <w:r>
        <w:rPr>
          <w:rFonts w:ascii="Times New Roman" w:hAnsi="Times New Roman"/>
          <w:b w:val="false"/>
          <w:i w:val="false"/>
          <w:color w:val="000000"/>
          <w:sz w:val="22"/>
        </w:rPr>
        <w:t> </w:t>
      </w:r>
      <w:r>
        <w:rPr>
          <w:rFonts w:ascii="Times New Roman" w:hAnsi="Times New Roman"/>
          <w:b w:val="false"/>
          <w:i/>
          <w:color w:val="000000"/>
          <w:sz w:val="22"/>
        </w:rPr>
        <w:t xml:space="preserve">Personal liability—how determined. </w:t>
      </w:r>
      <w:r>
        <w:rPr>
          <w:rFonts w:ascii="Times New Roman" w:hAnsi="Times New Roman"/>
          <w:b w:val="false"/>
          <w:i w:val="false"/>
          <w:color w:val="000000"/>
          <w:sz w:val="22"/>
        </w:rPr>
        <w:t>There are various criteria that can be used to determine which officers of a corporation have control of, supervision of, or the authority for remitting tax payments. Some criteria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duties of officers as outlined in the corporate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duties that various officers have assumed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Which officers are empowered to sign checks for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Which officers hire and fire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Which officers control the financial affairs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officer in control of the financial affairs of a corporation may be characterized as one who has final control as to which of the corporation’s bills should or should not be paid and when bills that had been selected for payment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control” means a significant control over which bills should or should not be paid, rather than exclusive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observations in paragraph </w:t>
      </w:r>
      <w:hyperlink r:id="rId47">
        <w:r>
          <w:rPr>
            <w:rStyle w:val="Hyperlink"/>
            <w:rFonts w:ascii="Times New Roman" w:hAnsi="Times New Roman"/>
            <w:b w:val="false"/>
            <w:i w:val="false"/>
            <w:color w:val="000000"/>
            <w:sz w:val="22"/>
          </w:rPr>
          <w:t>202.13(1)</w:t>
        </w:r>
      </w:hyperlink>
      <w:r>
        <w:rPr>
          <w:rFonts w:ascii="Times New Roman" w:hAnsi="Times New Roman"/>
          <w:b w:val="false"/>
          <w:i/>
          <w:color w:val="000000"/>
          <w:sz w:val="22"/>
        </w:rPr>
        <w:t>“e”</w:t>
      </w:r>
      <w:r>
        <w:rPr>
          <w:rFonts w:ascii="Times New Roman" w:hAnsi="Times New Roman"/>
          <w:b w:val="false"/>
          <w:i w:val="false"/>
          <w:color w:val="000000"/>
          <w:sz w:val="22"/>
        </w:rPr>
        <w:t xml:space="preserve"> are applicable to partnerships as well as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202.13(2)</w:t>
      </w:r>
      <w:r>
        <w:rPr>
          <w:rFonts w:ascii="Times New Roman" w:hAnsi="Times New Roman"/>
          <w:b w:val="false"/>
          <w:i w:val="false"/>
          <w:color w:val="000000"/>
          <w:sz w:val="22"/>
        </w:rPr>
        <w:t> </w:t>
      </w:r>
      <w:r>
        <w:rPr>
          <w:rFonts w:ascii="Times New Roman" w:hAnsi="Times New Roman"/>
          <w:b w:val="false"/>
          <w:i/>
          <w:color w:val="000000"/>
          <w:sz w:val="22"/>
        </w:rPr>
        <w:t xml:space="preserve">“Accounts receivable” described. </w:t>
      </w:r>
      <w:r>
        <w:rPr>
          <w:rFonts w:ascii="Times New Roman" w:hAnsi="Times New Roman"/>
          <w:b w:val="false"/>
          <w:i w:val="false"/>
          <w:color w:val="000000"/>
          <w:sz w:val="22"/>
        </w:rPr>
        <w:t>Officers and partners are not responsible for sales tax due and owing on accounts receivable. An “account receivable” is a contractual obligation owing upon an open account. An “open account” is one that is neither finally settled nor finally closed but is still running and open to future payments or the assumption of future additional liabilities. The ordinary consumer installment contract is not an account receivable. The amount due has been finally settled and is not open to future adjustment. The usual consumer installment contract is a “note receivable” rather than an account receivable. An account receivable purchased by a factor or paid by a credit card company is, as of the date of purchase or payment, not an account receivable. An officer or partner will be liable for the value of the account receivable purchased or paid. Officers and partners have the burden of proving that tax is not due because it is a tax on an account receivable.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421.26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701—202.14</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tax or use tax paid to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202.14(1)</w:t>
      </w:r>
      <w:r>
        <w:rPr>
          <w:rFonts w:ascii="Times New Roman" w:hAnsi="Times New Roman"/>
          <w:b w:val="false"/>
          <w:i w:val="false"/>
          <w:color w:val="000000"/>
          <w:sz w:val="22"/>
        </w:rPr>
        <w:t> </w:t>
      </w:r>
      <w:r>
        <w:rPr>
          <w:rFonts w:ascii="Times New Roman" w:hAnsi="Times New Roman"/>
          <w:b w:val="false"/>
          <w:i/>
          <w:color w:val="000000"/>
          <w:sz w:val="22"/>
        </w:rPr>
        <w:t xml:space="preserve">Equal or greater tax paid to another state. </w:t>
      </w:r>
      <w:r>
        <w:rPr>
          <w:rFonts w:ascii="Times New Roman" w:hAnsi="Times New Roman"/>
          <w:b w:val="false"/>
          <w:i w:val="false"/>
          <w:color w:val="000000"/>
          <w:sz w:val="22"/>
        </w:rPr>
        <w:t>When a person has already paid to any other state of the United States a state sales, use, or occupational tax on specifically identified tangible personal property or taxable services on its sale or use, prior to bringing the property into Iowa, and the tax is equal to or greater than the current rate of tax imposed by the Iowa use tax law, no additional use tax is due to the state of Iowa by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202.14(2)</w:t>
      </w:r>
      <w:r>
        <w:rPr>
          <w:rFonts w:ascii="Times New Roman" w:hAnsi="Times New Roman"/>
          <w:b w:val="false"/>
          <w:i w:val="false"/>
          <w:color w:val="000000"/>
          <w:sz w:val="22"/>
        </w:rPr>
        <w:t> </w:t>
      </w:r>
      <w:r>
        <w:rPr>
          <w:rFonts w:ascii="Times New Roman" w:hAnsi="Times New Roman"/>
          <w:b w:val="false"/>
          <w:i/>
          <w:color w:val="000000"/>
          <w:sz w:val="22"/>
        </w:rPr>
        <w:t xml:space="preserve">Less tax paid to another state. </w:t>
      </w:r>
      <w:r>
        <w:rPr>
          <w:rFonts w:ascii="Times New Roman" w:hAnsi="Times New Roman"/>
          <w:b w:val="false"/>
          <w:i w:val="false"/>
          <w:color w:val="000000"/>
          <w:sz w:val="22"/>
        </w:rPr>
        <w:t>If the amount of tax already paid by such person to any other state of the United States on specifically identified tangible personal property or taxable services prior to bringing the property into Iowa is less than the current rate of tax imposed by Iowa law, use tax shall be due to the state of Iowa on the difference in tax paid to the foreign state and the tax due under the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202.14(3)</w:t>
      </w:r>
      <w:r>
        <w:rPr>
          <w:rFonts w:ascii="Times New Roman" w:hAnsi="Times New Roman"/>
          <w:b w:val="false"/>
          <w:i w:val="false"/>
          <w:color w:val="000000"/>
          <w:sz w:val="22"/>
        </w:rPr>
        <w:t> </w:t>
      </w:r>
      <w:r>
        <w:rPr>
          <w:rFonts w:ascii="Times New Roman" w:hAnsi="Times New Roman"/>
          <w:b w:val="false"/>
          <w:i/>
          <w:color w:val="000000"/>
          <w:sz w:val="22"/>
        </w:rPr>
        <w:t xml:space="preserve">Claiming exemption for tax paid. </w:t>
      </w:r>
      <w:r>
        <w:rPr>
          <w:rFonts w:ascii="Times New Roman" w:hAnsi="Times New Roman"/>
          <w:b w:val="false"/>
          <w:i w:val="false"/>
          <w:color w:val="000000"/>
          <w:sz w:val="22"/>
        </w:rPr>
        <w:t>When a person claims exemption from payment of use tax on the grounds that the tax has already been paid to any other state of the United States with respect to the sale or use of the property or service in question prior to bringing the property into Iowa, the burden of proof is upon that person to show the department, county treasurer, or motor vehicle division of the Iowa department of transportation, by document, that the tax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202.14(4)</w:t>
      </w:r>
      <w:r>
        <w:rPr>
          <w:rFonts w:ascii="Times New Roman" w:hAnsi="Times New Roman"/>
          <w:b w:val="false"/>
          <w:i w:val="false"/>
          <w:color w:val="000000"/>
          <w:sz w:val="22"/>
        </w:rPr>
        <w:t> </w:t>
      </w:r>
      <w:r>
        <w:rPr>
          <w:rFonts w:ascii="Times New Roman" w:hAnsi="Times New Roman"/>
          <w:b w:val="false"/>
          <w:i/>
          <w:color w:val="000000"/>
          <w:sz w:val="22"/>
        </w:rPr>
        <w:t xml:space="preserve">Credit not allowed against Iowa tax. </w:t>
      </w:r>
      <w:r>
        <w:rPr>
          <w:rFonts w:ascii="Times New Roman" w:hAnsi="Times New Roman"/>
          <w:b w:val="false"/>
          <w:i w:val="false"/>
          <w:color w:val="000000"/>
          <w:sz w:val="22"/>
        </w:rPr>
        <w:t>Credits shall not be allowed for sales, use, or occupational tax already paid in any state of the United States against the Iowa use tax relating to the acquisition cost of property being brought into this state when such tax already paid was paid on the sales price of lease or rental payments of tangible personal property used in another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701—202.15</w:t>
      </w:r>
      <w:r>
        <w:rPr>
          <w:rFonts w:ascii="Times New Roman" w:hAnsi="Times New Roman"/>
          <w:b/>
          <w:i w:val="false"/>
          <w:color w:val="000000"/>
          <w:sz w:val="22"/>
        </w:rPr>
        <w:t xml:space="preserve">(423) </w:t>
      </w:r>
      <w:r>
        <w:rPr>
          <w:rFonts w:ascii="Times New Roman" w:hAnsi="Times New Roman"/>
          <w:b/>
          <w:i w:val="false"/>
          <w:color w:val="000000"/>
          <w:sz w:val="22"/>
        </w:rPr>
        <w:t xml:space="preserve">Registered retailers selling tangible personal property on a conditional sale contract basis. </w:t>
      </w:r>
      <w:r>
        <w:rPr>
          <w:rFonts w:ascii="Times New Roman" w:hAnsi="Times New Roman"/>
          <w:b w:val="false"/>
          <w:i w:val="false"/>
          <w:color w:val="000000"/>
          <w:sz w:val="22"/>
        </w:rPr>
        <w:t>A retailer shall report and remit to the department the full amount of tax computed on the full sale price on the return for the tax period during which the sale was made.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701—202.16</w:t>
      </w:r>
      <w:r>
        <w:rPr>
          <w:rFonts w:ascii="Times New Roman" w:hAnsi="Times New Roman"/>
          <w:b/>
          <w:i w:val="false"/>
          <w:color w:val="000000"/>
          <w:sz w:val="22"/>
        </w:rPr>
        <w:t xml:space="preserve">(423) </w:t>
      </w:r>
      <w:r>
        <w:rPr>
          <w:rFonts w:ascii="Times New Roman" w:hAnsi="Times New Roman"/>
          <w:b/>
          <w:i w:val="false"/>
          <w:color w:val="000000"/>
          <w:sz w:val="22"/>
        </w:rPr>
        <w:t xml:space="preserve">Registered vendors repossessing goods sold on a conditional sale contract basis. </w:t>
      </w:r>
      <w:r>
        <w:rPr>
          <w:rFonts w:ascii="Times New Roman" w:hAnsi="Times New Roman"/>
          <w:b w:val="false"/>
          <w:i w:val="false"/>
          <w:color w:val="000000"/>
          <w:sz w:val="22"/>
        </w:rPr>
        <w:t>A registered retailer repossessing tangible personal property that has been sold on a conditional sale contract basis and remitting use tax to the department on the full purchase price may take a deduction on the retailer’s sales and use tax return for the tax period in which the goods were repossessed, in an amount equal to the credit allowed to the purchaser for the goods returned, if the retailer has returned use tax to the purchaser on the unpaid balance.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701—202.17</w:t>
      </w:r>
      <w:r>
        <w:rPr>
          <w:rFonts w:ascii="Times New Roman" w:hAnsi="Times New Roman"/>
          <w:b/>
          <w:i w:val="false"/>
          <w:color w:val="000000"/>
          <w:sz w:val="22"/>
        </w:rPr>
        <w:t xml:space="preserve">(423) </w:t>
      </w:r>
      <w:r>
        <w:rPr>
          <w:rFonts w:ascii="Times New Roman" w:hAnsi="Times New Roman"/>
          <w:b/>
          <w:i w:val="false"/>
          <w:color w:val="000000"/>
          <w:sz w:val="22"/>
        </w:rPr>
        <w:t xml:space="preserve">Returned merchandise. </w:t>
      </w:r>
      <w:r>
        <w:rPr>
          <w:rFonts w:ascii="Times New Roman" w:hAnsi="Times New Roman"/>
          <w:b w:val="false"/>
          <w:i w:val="false"/>
          <w:color w:val="000000"/>
          <w:sz w:val="22"/>
        </w:rPr>
        <w:t>When merchandise is sold and returned by a customer who secures an allowance or a return of the full purchase price, the seller may deduct the amount allowed as full credit or refund, provided the merchandise is taxable merchandise and tax has been previously paid on the sales price. No allowance is to be made for the return of any merchandise that (1) is exempt from either sales or use tax, or (2) has not been reported in the taxpayer’s tax previously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701—202.18</w:t>
      </w:r>
      <w:r>
        <w:rPr>
          <w:rFonts w:ascii="Times New Roman" w:hAnsi="Times New Roman"/>
          <w:b/>
          <w:i w:val="false"/>
          <w:color w:val="000000"/>
          <w:sz w:val="22"/>
        </w:rPr>
        <w:t xml:space="preserve">(422,423) </w:t>
      </w:r>
      <w:r>
        <w:rPr>
          <w:rFonts w:ascii="Times New Roman" w:hAnsi="Times New Roman"/>
          <w:b/>
          <w:i w:val="false"/>
          <w:color w:val="000000"/>
          <w:sz w:val="22"/>
        </w:rPr>
        <w:t xml:space="preserve">Information disclosures to certain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202.18(1)</w:t>
      </w:r>
      <w:r>
        <w:rPr>
          <w:rFonts w:ascii="Times New Roman" w:hAnsi="Times New Roman"/>
          <w:b w:val="false"/>
          <w:i w:val="false"/>
          <w:color w:val="000000"/>
          <w:sz w:val="22"/>
        </w:rPr>
        <w:t> </w:t>
      </w:r>
      <w:r>
        <w:rPr>
          <w:rFonts w:ascii="Times New Roman" w:hAnsi="Times New Roman"/>
          <w:b w:val="false"/>
          <w:i w:val="false"/>
          <w:color w:val="000000"/>
          <w:sz w:val="22"/>
        </w:rPr>
        <w:t>When requested to do so by any person having a legitimate interest in such information, the department shall, after being presented with sufficient proof of the entire situation, disclose to the person the amount of unpaid sales or use taxes due by a taxpayer. The person shall provide the department with sufficient proof consisting of all relevant facts and the reason or reasons for seeking information as to the amount of unpaid taxes due by the taxpayer. The information sought shall not be disclosed if the department determines that the person requesting information does not have a legitimate interest. Examples of those who might seek information on a taxpayer are persons from whom a taxpayer is seeking credit, or with whom the taxpayer is negotiating the sale of any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202.18(2)</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may disclose to any person whether or not a taxpayer has a sales tax permit because the law requires the taxpayer’s permit to be conspicuously posted at all times in the taxpayer’s place of business, thus becoming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disclosed pursuant to this rule is not a violation of Iowa Code section </w:t>
      </w:r>
      <w:hyperlink r:id="rId5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423.42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701—202.19</w:t>
      </w:r>
      <w:r>
        <w:rPr>
          <w:rFonts w:ascii="Times New Roman" w:hAnsi="Times New Roman"/>
          <w:b/>
          <w:i w:val="false"/>
          <w:color w:val="000000"/>
          <w:sz w:val="22"/>
        </w:rPr>
        <w:t xml:space="preserve">(423)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 any person subject to the tax to file with the department a bond in an amount as the director may fix or, in lieu of the bond, securities approved by the director in an amount as the director may prescribe. Pursuant to Iowa Code section </w:t>
      </w:r>
      <w:hyperlink r:id="rId59">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the director has determined that the following procedures apply with regard to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202.19(1)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for sales tax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sales tax permit may be required to post a bond or security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determined upon a complete investigation of the applicant’s financial status that the applicant would be unable to timely remit the tax,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applicant held a permit for a prior business and the remittance record of the tax under the prior permit falls within one of the conditions in paragraph </w:t>
      </w:r>
      <w:r>
        <w:rPr>
          <w:rFonts w:ascii="Times New Roman" w:hAnsi="Times New Roman"/>
          <w:b w:val="false"/>
          <w:i w:val="false"/>
          <w:color w:val="000000"/>
          <w:sz w:val="22"/>
        </w:rPr>
        <w:t>202.19(1)</w:t>
      </w:r>
      <w:r>
        <w:rPr>
          <w:rFonts w:ascii="Times New Roman" w:hAnsi="Times New Roman"/>
          <w:b w:val="false"/>
          <w:i/>
          <w:color w:val="000000"/>
          <w:sz w:val="22"/>
        </w:rPr>
        <w:t>“b,”</w:t>
      </w:r>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experienced collection problems while the applicant was engaged in business under the prior permit,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substantially similar to a person who would have been required to post a bond under the guidelines as set forth in paragraph </w:t>
      </w:r>
      <w:r>
        <w:rPr>
          <w:rFonts w:ascii="Times New Roman" w:hAnsi="Times New Roman"/>
          <w:b w:val="false"/>
          <w:i w:val="false"/>
          <w:color w:val="000000"/>
          <w:sz w:val="22"/>
        </w:rPr>
        <w:t>202.19(1)</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or the person had a previous sales tax permit that has been revoked.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substantially similar to the extent that said applicant is owned or controlled by persons who owned or controlled the previous permit holder. For example, X, a corporation, had a previous sales tax permit revoked. X is dissolved, and its shareholders create a new corporation, Y, which applies for a sales tax permit. The persons or stockholders who controlled X now control Y. Therefore, Y will be requested to post a bond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permit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Existing permit holders may be required to post a bond or security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they have had one or more delinquencies in remitting the sales tax or filing timely returns during the last 24 months if filing returns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they have had four or more delinquencies in remitting the sales tax or filing timely deposits or returns during the last 24 months if filing returns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simultaneous late filing of the return and the late payment of the tax will count as one delinquency. However, the late filing of the return or the late payment of the tax will not count as a delinquency if the permit holder has satisfied one of the conditions set forth in Iowa Code section </w:t>
      </w:r>
      <w:hyperlink r:id="rId60">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bond. </w:t>
      </w:r>
      <w:r>
        <w:rPr>
          <w:rFonts w:ascii="Times New Roman" w:hAnsi="Times New Roman"/>
          <w:b w:val="false"/>
          <w:i w:val="false"/>
          <w:color w:val="000000"/>
          <w:sz w:val="22"/>
        </w:rPr>
        <w:t>If a permit holder has been required to post a bond or security or if an applicant for a permit has been required to post a bond or security, upon the filing of the bond or security if the permit holder maintains a good filing record for a period of two years, the permit holder may request that the department return the bond or security. The department may elect to return the bond without a request from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Applying bond. </w:t>
      </w:r>
      <w:r>
        <w:rPr>
          <w:rFonts w:ascii="Times New Roman" w:hAnsi="Times New Roman"/>
          <w:b w:val="false"/>
          <w:i w:val="false"/>
          <w:color w:val="000000"/>
          <w:sz w:val="22"/>
        </w:rPr>
        <w:t>The department may apply a bond to any existing tax liability of the permit holder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202.19(2)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determined that a permit holder or applicant for a sales tax permit is required to post collateral to secure the collection of the sales tax, the following types of collateral will be considered as sufficient: cash, surety bonds, securities or certificates of deposit. “Cash” means guaranteed funds, including but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Cashier’s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order,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cash is posted as a bond, the bond will not be considered filed until the final payment is made if paid in installments. A certificate of deposit must have a maturity date of 24 months from the date of assignment to the department. An acknowledgement of assignment from the bank must accompany the original certificate of deposit filed with the department. When a permit holder elects to post cash rather than a certificate of deposit as a bond, conversion to certificate of deposit will not be allowed. When the permit holder is a corporation, an officer of the corporation may assume personal liability as security for the payment of the sales tax. The officer will be evaluated as provided in subrule </w:t>
      </w:r>
      <w:r>
        <w:rPr>
          <w:rFonts w:ascii="Times New Roman" w:hAnsi="Times New Roman"/>
          <w:b w:val="false"/>
          <w:i w:val="false"/>
          <w:color w:val="000000"/>
          <w:sz w:val="22"/>
        </w:rPr>
        <w:t>202.19(1)</w:t>
      </w:r>
      <w:r>
        <w:rPr>
          <w:rFonts w:ascii="Times New Roman" w:hAnsi="Times New Roman"/>
          <w:b w:val="false"/>
          <w:i w:val="false"/>
          <w:color w:val="000000"/>
          <w:sz w:val="22"/>
        </w:rPr>
        <w:t xml:space="preserve"> as if the officer applied for a sales tax permit as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202.19(3)</w:t>
      </w:r>
      <w:r>
        <w:rPr>
          <w:rFonts w:ascii="Times New Roman" w:hAnsi="Times New Roman"/>
          <w:b w:val="false"/>
          <w:i w:val="false"/>
          <w:color w:val="000000"/>
          <w:sz w:val="22"/>
        </w:rPr>
        <w:t> </w:t>
      </w:r>
      <w:r>
        <w:rPr>
          <w:rFonts w:ascii="Times New Roman" w:hAnsi="Times New Roman"/>
          <w:b w:val="false"/>
          <w:i/>
          <w:color w:val="000000"/>
          <w:sz w:val="22"/>
        </w:rPr>
        <w:t xml:space="preserve">Amount of bond or security. </w:t>
      </w:r>
      <w:r>
        <w:rPr>
          <w:rFonts w:ascii="Times New Roman" w:hAnsi="Times New Roman"/>
          <w:b w:val="false"/>
          <w:i w:val="false"/>
          <w:color w:val="000000"/>
          <w:sz w:val="22"/>
        </w:rPr>
        <w:t xml:space="preserve">When it is determined that a permit holder or applicant for a sales tax permit is required to post a bond or securities, the following guidelines will be used to determine the amount of the bond unless the facts warrant a greater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 holder or applicant will be or is a monthly filer, a bond or securities in an amount sufficient to cover five months’ sales tax liability will be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or permit holder will be or is an annual filer, the bond or securities that will be required would be in the amount of one year’s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accept bonds for less than $100. If the bond amount is calculated to be less than $100, a $100 bond is required.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701—202.20</w:t>
      </w:r>
      <w:r>
        <w:rPr>
          <w:rFonts w:ascii="Times New Roman" w:hAnsi="Times New Roman"/>
          <w:b/>
          <w:i w:val="false"/>
          <w:color w:val="000000"/>
          <w:sz w:val="22"/>
        </w:rPr>
        <w:t xml:space="preserve">(423) </w:t>
      </w:r>
      <w:r>
        <w:rPr>
          <w:rFonts w:ascii="Times New Roman" w:hAnsi="Times New Roman"/>
          <w:b/>
          <w:i w:val="false"/>
          <w:color w:val="000000"/>
          <w:sz w:val="22"/>
        </w:rPr>
        <w:t xml:space="preserve">Taxpayer records—specific requirements. </w:t>
      </w:r>
      <w:r>
        <w:rPr>
          <w:rFonts w:ascii="Times New Roman" w:hAnsi="Times New Roman"/>
          <w:b w:val="false"/>
          <w:i w:val="false"/>
          <w:color w:val="000000"/>
          <w:sz w:val="22"/>
        </w:rPr>
        <w:t xml:space="preserve">Records required to be kept in accordance with rule </w:t>
      </w:r>
      <w:hyperlink r:id="rId62">
        <w:r>
          <w:rPr>
            <w:rStyle w:val="Hyperlink"/>
            <w:rFonts w:ascii="Times New Roman" w:hAnsi="Times New Roman"/>
            <w:b w:val="false"/>
            <w:i w:val="false"/>
            <w:color w:val="000000"/>
            <w:sz w:val="22"/>
          </w:rPr>
          <w:t>701—11.3</w:t>
        </w:r>
      </w:hyperlink>
      <w:r>
        <w:rPr>
          <w:rFonts w:ascii="Times New Roman" w:hAnsi="Times New Roman"/>
          <w:b w:val="false"/>
          <w:i w:val="false"/>
          <w:color w:val="000000"/>
          <w:sz w:val="22"/>
        </w:rPr>
        <w:t>(321,421,423,452A,453A)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202.20(1)</w:t>
      </w:r>
      <w:r>
        <w:rPr>
          <w:rFonts w:ascii="Times New Roman" w:hAnsi="Times New Roman"/>
          <w:b w:val="false"/>
          <w:i w:val="false"/>
          <w:color w:val="000000"/>
          <w:sz w:val="22"/>
        </w:rPr>
        <w:t> </w:t>
      </w:r>
      <w:r>
        <w:rPr>
          <w:rFonts w:ascii="Times New Roman" w:hAnsi="Times New Roman"/>
          <w:b w:val="false"/>
          <w:i w:val="false"/>
          <w:color w:val="000000"/>
          <w:sz w:val="22"/>
        </w:rPr>
        <w:t>A daily record of the amount of all cash and time payments and credit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202.20(2)</w:t>
      </w:r>
      <w:r>
        <w:rPr>
          <w:rFonts w:ascii="Times New Roman" w:hAnsi="Times New Roman"/>
          <w:b w:val="false"/>
          <w:i w:val="false"/>
          <w:color w:val="000000"/>
          <w:sz w:val="22"/>
        </w:rPr>
        <w:t> </w:t>
      </w:r>
      <w:r>
        <w:rPr>
          <w:rFonts w:ascii="Times New Roman" w:hAnsi="Times New Roman"/>
          <w:b w:val="false"/>
          <w:i w:val="false"/>
          <w:color w:val="000000"/>
          <w:sz w:val="22"/>
        </w:rPr>
        <w:t>A record of the amount of all merchandise purchased and of all services performed for a taxpayer, including all bills of lading, invoices and copies of purchase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202.20(3)</w:t>
      </w:r>
      <w:r>
        <w:rPr>
          <w:rFonts w:ascii="Times New Roman" w:hAnsi="Times New Roman"/>
          <w:b w:val="false"/>
          <w:i w:val="false"/>
          <w:color w:val="000000"/>
          <w:sz w:val="22"/>
        </w:rPr>
        <w:t> </w:t>
      </w:r>
      <w:r>
        <w:rPr>
          <w:rFonts w:ascii="Times New Roman" w:hAnsi="Times New Roman"/>
          <w:b w:val="false"/>
          <w:i w:val="false"/>
          <w:color w:val="000000"/>
          <w:sz w:val="22"/>
        </w:rPr>
        <w:t>A record of all deductions and exemptions taken in filing an Iowa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202.20(4)</w:t>
      </w:r>
      <w:r>
        <w:rPr>
          <w:rFonts w:ascii="Times New Roman" w:hAnsi="Times New Roman"/>
          <w:b w:val="false"/>
          <w:i w:val="false"/>
          <w:color w:val="000000"/>
          <w:sz w:val="22"/>
        </w:rPr>
        <w:t> </w:t>
      </w:r>
      <w:r>
        <w:rPr>
          <w:rFonts w:ascii="Times New Roman" w:hAnsi="Times New Roman"/>
          <w:b w:val="false"/>
          <w:i w:val="false"/>
          <w:color w:val="000000"/>
          <w:sz w:val="22"/>
        </w:rPr>
        <w:t>A true and complete inventory of the value of the stock on hand taken at least once a year. This includes an inventory of merchandise accepted as partial payment of the sales price on new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202.20(5)</w:t>
      </w:r>
      <w:r>
        <w:rPr>
          <w:rFonts w:ascii="Times New Roman" w:hAnsi="Times New Roman"/>
          <w:b w:val="false"/>
          <w:i w:val="false"/>
          <w:color w:val="000000"/>
          <w:sz w:val="22"/>
        </w:rPr>
        <w:t> </w:t>
      </w:r>
      <w:r>
        <w:rPr>
          <w:rFonts w:ascii="Times New Roman" w:hAnsi="Times New Roman"/>
          <w:b w:val="false"/>
          <w:i w:val="false"/>
          <w:color w:val="000000"/>
          <w:sz w:val="22"/>
        </w:rPr>
        <w:t>An accurate record of all services performed, including materials purchased for use in performing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202.20(6)</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certificates that are evidence of exempt sales; </w:t>
      </w:r>
      <w:hyperlink r:id="rId63">
        <w:r>
          <w:rPr>
            <w:rStyle w:val="Hyperlink"/>
            <w:rFonts w:ascii="Times New Roman" w:hAnsi="Times New Roman"/>
            <w:b w:val="false"/>
            <w:i w:val="false"/>
            <w:color w:val="000000"/>
            <w:sz w:val="22"/>
          </w:rPr>
          <w:t>701—Chapter 209</w:t>
        </w:r>
      </w:hyperlink>
      <w:r>
        <w:rPr>
          <w:rFonts w:ascii="Times New Roman" w:hAnsi="Times New Roman"/>
          <w:b w:val="false"/>
          <w:i w:val="false"/>
          <w:color w:val="000000"/>
          <w:sz w:val="22"/>
        </w:rPr>
        <w:t xml:space="preserve"> contains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4">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7714C</w:t>
      </w:r>
      <w:r>
        <w:rPr>
          <w:rFonts w:ascii="Times New Roman" w:hAnsi="Times New Roman"/>
          <w:b w:val="false"/>
          <w:i w:val="false"/>
          <w:color w:val="000000"/>
          <w:sz w:val="21"/>
        </w:rPr>
        <w:t xml:space="preserve"> (Notice ARC 7354C, IAB 12/27/23)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8151C</w:t>
      </w:r>
      <w:r>
        <w:rPr>
          <w:rFonts w:ascii="Times New Roman" w:hAnsi="Times New Roman"/>
          <w:b w:val="false"/>
          <w:i w:val="false"/>
          <w:color w:val="000000"/>
          <w:sz w:val="21"/>
        </w:rPr>
        <w:t xml:space="preserve"> (Notice ARC 7196C, IAB 12/27/23)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8947C</w:t>
      </w:r>
      <w:r>
        <w:rPr>
          <w:rFonts w:ascii="Times New Roman" w:hAnsi="Times New Roman"/>
          <w:b w:val="false"/>
          <w:i w:val="false"/>
          <w:color w:val="000000"/>
          <w:sz w:val="21"/>
        </w:rPr>
        <w:t xml:space="preserve"> (Notice ARC 8340C,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1.pdf" Type="http://schemas.openxmlformats.org/officeDocument/2006/relationships/hyperlink" Id="rId5"/>
    <Relationship TargetMode="External" Target="https://www.legis.iowa.gov/docs/ico/chapter/423.31.pdf" Type="http://schemas.openxmlformats.org/officeDocument/2006/relationships/hyperlink" Id="rId6"/>
    <Relationship TargetMode="External" Target="https://www.legis.iowa.gov/docs/ico/chapter/423.31.pdf" Type="http://schemas.openxmlformats.org/officeDocument/2006/relationships/hyperlink" Id="rId7"/>
    <Relationship TargetMode="External" Target="https://www.legis.iowa.gov/docs/ico/chapter/421.9A.pdf" Type="http://schemas.openxmlformats.org/officeDocument/2006/relationships/hyperlink" Id="rId8"/>
    <Relationship TargetMode="External" Target="https://www.legis.iowa.gov/docs/ico/chapter/421.9A.pdf" Type="http://schemas.openxmlformats.org/officeDocument/2006/relationships/hyperlink" Id="rId9"/>
    <Relationship TargetMode="External" Target="https://www.legis.iowa.gov/docs/ico/chapter/421.9A.pdf" Type="http://schemas.openxmlformats.org/officeDocument/2006/relationships/hyperlink" Id="rId10"/>
    <Relationship TargetMode="External" Target="https://www.legis.iowa.gov/docs/ico/chapter/423.31.pdf" Type="http://schemas.openxmlformats.org/officeDocument/2006/relationships/hyperlink" Id="rId11"/>
    <Relationship TargetMode="External" Target="https://www.legis.iowa.gov/docs/iac/rule/701.202.5.pdf" Type="http://schemas.openxmlformats.org/officeDocument/2006/relationships/hyperlink" Id="rId12"/>
    <Relationship TargetMode="External" Target="https://www.legis.iowa.gov/docs/iac/rule/701.202.5.pdf" Type="http://schemas.openxmlformats.org/officeDocument/2006/relationships/hyperlink" Id="rId13"/>
    <Relationship TargetMode="External" Target="https://www.legis.iowa.gov/docs/ico/chapter/423.31.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31.pdf" Type="http://schemas.openxmlformats.org/officeDocument/2006/relationships/hyperlink" Id="rId16"/>
    <Relationship TargetMode="External" Target="https://www.legis.iowa.gov/docs/iac/rule/701.202.6.pdf" Type="http://schemas.openxmlformats.org/officeDocument/2006/relationships/hyperlink" Id="rId17"/>
    <Relationship TargetMode="External" Target="https://www.legis.iowa.gov/docs/ico/chapter/423.36.pdf" Type="http://schemas.openxmlformats.org/officeDocument/2006/relationships/hyperlink" Id="rId18"/>
    <Relationship TargetMode="External" Target="https://www.legis.iowa.gov/docs/iac/rule/701.288.3.pdf" Type="http://schemas.openxmlformats.org/officeDocument/2006/relationships/hyperlink" Id="rId19"/>
    <Relationship TargetMode="External" Target="https://www.legis.iowa.gov/docs/ico/chapter/423.35.pdf" Type="http://schemas.openxmlformats.org/officeDocument/2006/relationships/hyperlink" Id="rId20"/>
    <Relationship TargetMode="External" Target="https://www.legis.iowa.gov/docs/ico/chapter/421.27.pdf" Type="http://schemas.openxmlformats.org/officeDocument/2006/relationships/hyperlink" Id="rId21"/>
    <Relationship TargetMode="External" Target="https://www.legis.iowa.gov/docs/ico/chapter/423.36.pdf" Type="http://schemas.openxmlformats.org/officeDocument/2006/relationships/hyperlink" Id="rId22"/>
    <Relationship TargetMode="External" Target="https://www.legis.iowa.gov/docs/iac/rule/701.11.3.pdf" Type="http://schemas.openxmlformats.org/officeDocument/2006/relationships/hyperlink" Id="rId23"/>
    <Relationship TargetMode="External" Target="https://www.legis.iowa.gov/docs/iac/rule/701.209.1.pdf" Type="http://schemas.openxmlformats.org/officeDocument/2006/relationships/hyperlink" Id="rId24"/>
    <Relationship TargetMode="External" Target="https://www.legis.iowa.gov/docs/iac/rule/701.11.3.pdf" Type="http://schemas.openxmlformats.org/officeDocument/2006/relationships/hyperlink" Id="rId25"/>
    <Relationship TargetMode="External" Target="https://www.legis.iowa.gov/docs/iac/rule/701.209.1.pdf" Type="http://schemas.openxmlformats.org/officeDocument/2006/relationships/hyperlink" Id="rId26"/>
    <Relationship TargetMode="External" Target="https://www.legis.iowa.gov/docs/iac/rule/701.202.6.pdf" Type="http://schemas.openxmlformats.org/officeDocument/2006/relationships/hyperlink" Id="rId27"/>
    <Relationship TargetMode="External" Target="https://www.legis.iowa.gov/docs/ico/chapter/423.36.pdf" Type="http://schemas.openxmlformats.org/officeDocument/2006/relationships/hyperlink" Id="rId28"/>
    <Relationship TargetMode="External" Target="https://www.legis.iowa.gov/docs/ico/chapter/423.14.pdf" Type="http://schemas.openxmlformats.org/officeDocument/2006/relationships/hyperlink" Id="rId29"/>
    <Relationship TargetMode="External" Target="https://www.legis.iowa.gov/docs/ico/chapter/423.36.pdf" Type="http://schemas.openxmlformats.org/officeDocument/2006/relationships/hyperlink" Id="rId30"/>
    <Relationship TargetMode="External" Target="https://www.legis.iowa.gov/docs/iac/rule/701.285.28.pdf" Type="http://schemas.openxmlformats.org/officeDocument/2006/relationships/hyperlink" Id="rId31"/>
    <Relationship TargetMode="External" Target="https://www.legis.iowa.gov/docs/ico/chapter/423.33.pdf" Type="http://schemas.openxmlformats.org/officeDocument/2006/relationships/hyperlink" Id="rId32"/>
    <Relationship TargetMode="External" Target="https://www.legis.iowa.gov/docs/ico/chapter/423.31.pdf" Type="http://schemas.openxmlformats.org/officeDocument/2006/relationships/hyperlink" Id="rId33"/>
    <Relationship TargetMode="External" Target="https://www.legis.iowa.gov/docs/ico/chapter/455C.pdf" Type="http://schemas.openxmlformats.org/officeDocument/2006/relationships/hyperlink" Id="rId34"/>
    <Relationship TargetMode="External" Target="https://www.legis.iowa.gov/docs/ico/chapter/423.1.pdf" Type="http://schemas.openxmlformats.org/officeDocument/2006/relationships/hyperlink" Id="rId35"/>
    <Relationship TargetMode="External" Target="https://www.legis.iowa.gov/docs/ico/chapter/423.2.pdf" Type="http://schemas.openxmlformats.org/officeDocument/2006/relationships/hyperlink" Id="rId36"/>
    <Relationship TargetMode="External" Target="https://www.legis.iowa.gov/docs/iac/rule/701.7.9.pdf" Type="http://schemas.openxmlformats.org/officeDocument/2006/relationships/hyperlink" Id="rId37"/>
    <Relationship TargetMode="External" Target="https://www.legis.iowa.gov/docs/ico/chapter/423.47.pdf" Type="http://schemas.openxmlformats.org/officeDocument/2006/relationships/hyperlink" Id="rId38"/>
    <Relationship TargetMode="External" Target="https://www.legis.iowa.gov/docs/ico/chapter/423.47.pdf" Type="http://schemas.openxmlformats.org/officeDocument/2006/relationships/hyperlink" Id="rId39"/>
    <Relationship TargetMode="External" Target="https://www.legis.iowa.gov/docs/ico/chapter/423.45.pdf" Type="http://schemas.openxmlformats.org/officeDocument/2006/relationships/hyperlink" Id="rId40"/>
    <Relationship TargetMode="External" Target="https://www.legis.iowa.gov/docs/ico/chapter/423.47.pdf" Type="http://schemas.openxmlformats.org/officeDocument/2006/relationships/hyperlink" Id="rId41"/>
    <Relationship TargetMode="External" Target="https://www.legis.iowa.gov/docs/ico/chapter/423.33.pdf" Type="http://schemas.openxmlformats.org/officeDocument/2006/relationships/hyperlink" Id="rId42"/>
    <Relationship TargetMode="External" Target="https://www.legis.iowa.gov/docs/ico/chapter/421.26.pdf" Type="http://schemas.openxmlformats.org/officeDocument/2006/relationships/hyperlink" Id="rId43"/>
    <Relationship TargetMode="External" Target="https://www.legis.iowa.gov/docs/ico/chapter/423.33.pdf" Type="http://schemas.openxmlformats.org/officeDocument/2006/relationships/hyperlink" Id="rId44"/>
    <Relationship TargetMode="External" Target="https://www.legis.iowa.gov/docs/ico/chapter/421.28.pdf" Type="http://schemas.openxmlformats.org/officeDocument/2006/relationships/hyperlink" Id="rId45"/>
    <Relationship TargetMode="External" Target="https://www.legis.iowa.gov/docs/ico/chapter/423.33.pdf" Type="http://schemas.openxmlformats.org/officeDocument/2006/relationships/hyperlink" Id="rId46"/>
    <Relationship TargetMode="External" Target="https://www.legis.iowa.gov/docs/iac/rule/701.202.13.pdf" Type="http://schemas.openxmlformats.org/officeDocument/2006/relationships/hyperlink" Id="rId47"/>
    <Relationship TargetMode="External" Target="https://www.legis.iowa.gov/docs/ico/chapter/421.26.pdf" Type="http://schemas.openxmlformats.org/officeDocument/2006/relationships/hyperlink" Id="rId48"/>
    <Relationship TargetMode="External" Target="https://www.legis.iowa.gov/docs/ico/chapter/423.22.pdf" Type="http://schemas.openxmlformats.org/officeDocument/2006/relationships/hyperlink" Id="rId49"/>
    <Relationship TargetMode="External" Target="https://www.legis.iowa.gov/docs/ico/chapter/423.1.pdf" Type="http://schemas.openxmlformats.org/officeDocument/2006/relationships/hyperlink" Id="rId50"/>
    <Relationship TargetMode="External" Target="https://www.legis.iowa.gov/docs/ico/chapter/423.2.pdf" Type="http://schemas.openxmlformats.org/officeDocument/2006/relationships/hyperlink" Id="rId51"/>
    <Relationship TargetMode="External" Target="https://www.legis.iowa.gov/docs/ico/chapter/423.1.pdf" Type="http://schemas.openxmlformats.org/officeDocument/2006/relationships/hyperlink" Id="rId52"/>
    <Relationship TargetMode="External" Target="https://www.legis.iowa.gov/docs/ico/chapter/423.2.pdf" Type="http://schemas.openxmlformats.org/officeDocument/2006/relationships/hyperlink" Id="rId53"/>
    <Relationship TargetMode="External" Target="https://www.legis.iowa.gov/docs/ico/chapter/423.31.pdf" Type="http://schemas.openxmlformats.org/officeDocument/2006/relationships/hyperlink" Id="rId54"/>
    <Relationship TargetMode="External" Target="https://www.legis.iowa.gov/docs/ico/chapter/422.72.pdf" Type="http://schemas.openxmlformats.org/officeDocument/2006/relationships/hyperlink" Id="rId55"/>
    <Relationship TargetMode="External" Target="https://www.legis.iowa.gov/docs/ico/chapter/422.72.pdf" Type="http://schemas.openxmlformats.org/officeDocument/2006/relationships/hyperlink" Id="rId56"/>
    <Relationship TargetMode="External" Target="https://www.legis.iowa.gov/docs/ico/chapter/423.42.pdf" Type="http://schemas.openxmlformats.org/officeDocument/2006/relationships/hyperlink" Id="rId57"/>
    <Relationship TargetMode="External" Target="https://www.legis.iowa.gov/docs/ico/chapter/423.23.pdf" Type="http://schemas.openxmlformats.org/officeDocument/2006/relationships/hyperlink" Id="rId58"/>
    <Relationship TargetMode="External" Target="https://www.legis.iowa.gov/docs/ico/chapter/423.35.pdf" Type="http://schemas.openxmlformats.org/officeDocument/2006/relationships/hyperlink" Id="rId59"/>
    <Relationship TargetMode="External" Target="https://www.legis.iowa.gov/docs/ico/chapter/421.27.pdf" Type="http://schemas.openxmlformats.org/officeDocument/2006/relationships/hyperlink" Id="rId60"/>
    <Relationship TargetMode="External" Target="https://www.legis.iowa.gov/docs/ico/chapter/423.35.pdf" Type="http://schemas.openxmlformats.org/officeDocument/2006/relationships/hyperlink" Id="rId61"/>
    <Relationship TargetMode="External" Target="https://www.legis.iowa.gov/docs/iac/rule/701.11.3.pdf" Type="http://schemas.openxmlformats.org/officeDocument/2006/relationships/hyperlink" Id="rId62"/>
    <Relationship TargetMode="External" Target="https://www.legis.iowa.gov/docs/iac/chapter/701.209.pdf" Type="http://schemas.openxmlformats.org/officeDocument/2006/relationships/hyperlink" Id="rId63"/>
    <Relationship TargetMode="External" Target="https://www.legis.iowa.gov/docs/ico/chapter/423.41.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