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SALES AND USE TAX PERMITS</w:t>
      </w:r>
    </w:p>
    <w:p>
      <w:pPr>
        <w:spacing w:before="0" w:after="0"/>
        <w:ind w:left="120"/>
        <w:jc w:val="center"/>
      </w:pPr>
      <w:r>
        <w:rPr>
          <w:rFonts w:ascii="Times New Roman" w:hAnsi="Times New Roman"/>
          <w:b w:val="false"/>
          <w:i w:val="false"/>
          <w:color w:val="000000"/>
          <w:sz w:val="20"/>
        </w:rPr>
        <w:t>[Prior to 7/13/22, see 701—Chapter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701—201.1</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color w:val="000000"/>
          <w:sz w:val="22"/>
        </w:rPr>
        <w:t xml:space="preserve">Permit requirement. </w:t>
      </w:r>
      <w:r>
        <w:rPr>
          <w:rFonts w:ascii="Times New Roman" w:hAnsi="Times New Roman"/>
          <w:b w:val="false"/>
          <w:i w:val="false"/>
          <w:color w:val="000000"/>
          <w:sz w:val="22"/>
        </w:rPr>
        <w:t xml:space="preserve">A person shall not make taxable sales of tangible property, specified digital products, or services until the person has received a permit from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color w:val="000000"/>
          <w:sz w:val="22"/>
        </w:rPr>
        <w:t xml:space="preserve">Purchases subject to use tax. </w:t>
      </w:r>
      <w:r>
        <w:rPr>
          <w:rFonts w:ascii="Times New Roman" w:hAnsi="Times New Roman"/>
          <w:b w:val="false"/>
          <w:i w:val="false"/>
          <w:color w:val="000000"/>
          <w:sz w:val="22"/>
        </w:rPr>
        <w:t xml:space="preserve">A person liable for use tax under Iowa Code section </w:t>
      </w:r>
      <w:hyperlink r:id="rId5">
        <w:r>
          <w:rPr>
            <w:rStyle w:val="Hyperlink"/>
            <w:rFonts w:ascii="Times New Roman" w:hAnsi="Times New Roman"/>
            <w:b w:val="false"/>
            <w:i w:val="false"/>
            <w:color w:val="000000"/>
            <w:sz w:val="22"/>
          </w:rPr>
          <w:t>423.34</w:t>
        </w:r>
      </w:hyperlink>
      <w:r>
        <w:rPr>
          <w:rFonts w:ascii="Times New Roman" w:hAnsi="Times New Roman"/>
          <w:b w:val="false"/>
          <w:i w:val="false"/>
          <w:color w:val="000000"/>
          <w:sz w:val="22"/>
        </w:rPr>
        <w:t xml:space="preserve"> is required to file a sales and use tax return with the department, reporting and remitting use tax on all property or taxable service purchased for use in Iowa during the tax period covered by the return, unless the seller from whom the purchase is made is registered with the department and has collected sales or use tax on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color w:val="000000"/>
          <w:sz w:val="22"/>
        </w:rPr>
        <w:t xml:space="preserve">Sales subject to use tax. </w:t>
      </w:r>
      <w:r>
        <w:rPr>
          <w:rFonts w:ascii="Times New Roman" w:hAnsi="Times New Roman"/>
          <w:b w:val="false"/>
          <w:i w:val="false"/>
          <w:color w:val="000000"/>
          <w:sz w:val="22"/>
        </w:rPr>
        <w:t xml:space="preserve">A remote seller as defined in rule </w:t>
      </w:r>
      <w:hyperlink r:id="rId6">
        <w:r>
          <w:rPr>
            <w:rStyle w:val="Hyperlink"/>
            <w:rFonts w:ascii="Times New Roman" w:hAnsi="Times New Roman"/>
            <w:b w:val="false"/>
            <w:i w:val="false"/>
            <w:color w:val="000000"/>
            <w:sz w:val="22"/>
          </w:rPr>
          <w:t>701—207.1</w:t>
        </w:r>
      </w:hyperlink>
      <w:r>
        <w:rPr>
          <w:rFonts w:ascii="Times New Roman" w:hAnsi="Times New Roman"/>
          <w:b w:val="false"/>
          <w:i w:val="false"/>
          <w:color w:val="000000"/>
          <w:sz w:val="22"/>
        </w:rPr>
        <w:t xml:space="preserve">(423) making sales into Iowa or sales of tangible personal property, specified digital products, or taxable services without meeting or exceeding the sales threshold as defined in rule </w:t>
      </w:r>
      <w:hyperlink r:id="rId7">
        <w:r>
          <w:rPr>
            <w:rStyle w:val="Hyperlink"/>
            <w:rFonts w:ascii="Times New Roman" w:hAnsi="Times New Roman"/>
            <w:b w:val="false"/>
            <w:i w:val="false"/>
            <w:color w:val="000000"/>
            <w:sz w:val="22"/>
          </w:rPr>
          <w:t>701—207.1</w:t>
        </w:r>
      </w:hyperlink>
      <w:r>
        <w:rPr>
          <w:rFonts w:ascii="Times New Roman" w:hAnsi="Times New Roman"/>
          <w:b w:val="false"/>
          <w:i w:val="false"/>
          <w:color w:val="000000"/>
          <w:sz w:val="22"/>
        </w:rPr>
        <w:t xml:space="preserve">(423) may register for a sales and use tax permit to collect use tax on such sales. The person collecting use tax on these sales shall report these sales as sales subject to use tax on the sales and use tax return. Rule </w:t>
      </w:r>
      <w:hyperlink r:id="rId8">
        <w:r>
          <w:rPr>
            <w:rStyle w:val="Hyperlink"/>
            <w:rFonts w:ascii="Times New Roman" w:hAnsi="Times New Roman"/>
            <w:b w:val="false"/>
            <w:i w:val="false"/>
            <w:color w:val="000000"/>
            <w:sz w:val="22"/>
          </w:rPr>
          <w:t>701—207.6</w:t>
        </w:r>
      </w:hyperlink>
      <w:r>
        <w:rPr>
          <w:rFonts w:ascii="Times New Roman" w:hAnsi="Times New Roman"/>
          <w:b w:val="false"/>
          <w:i w:val="false"/>
          <w:color w:val="000000"/>
          <w:sz w:val="22"/>
        </w:rPr>
        <w:t>(423) contains additional information about sales tax collection obligations for out-of-state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201.1(4)</w:t>
      </w:r>
      <w:r>
        <w:rPr>
          <w:rFonts w:ascii="Times New Roman" w:hAnsi="Times New Roman"/>
          <w:b w:val="false"/>
          <w:i w:val="false"/>
          <w:color w:val="000000"/>
          <w:sz w:val="22"/>
        </w:rPr>
        <w:t> </w:t>
      </w:r>
      <w:r>
        <w:rPr>
          <w:rFonts w:ascii="Times New Roman" w:hAnsi="Times New Roman"/>
          <w:b w:val="false"/>
          <w:i/>
          <w:color w:val="000000"/>
          <w:sz w:val="22"/>
        </w:rPr>
        <w:t xml:space="preserve">Infrequent purchases. </w:t>
      </w:r>
      <w:r>
        <w:rPr>
          <w:rFonts w:ascii="Times New Roman" w:hAnsi="Times New Roman"/>
          <w:b w:val="false"/>
          <w:i w:val="false"/>
          <w:color w:val="000000"/>
          <w:sz w:val="22"/>
        </w:rPr>
        <w:t>A person who does not regularly make purchases subject to use tax but needs to remit tax may use the Iowa non-permit use tax return available via GovConnectIowa or by other means as prescribed by the department. If a person owes less than $1,200 per year in use tax, the person does not need to obtain a permit and may file the Iowa non-permit use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701—201.2</w:t>
      </w:r>
      <w:r>
        <w:rPr>
          <w:rFonts w:ascii="Times New Roman" w:hAnsi="Times New Roman"/>
          <w:b/>
          <w:i w:val="false"/>
          <w:color w:val="000000"/>
          <w:sz w:val="22"/>
        </w:rPr>
        <w:t xml:space="preserve">(423) </w:t>
      </w:r>
      <w:r>
        <w:rPr>
          <w:rFonts w:ascii="Times New Roman" w:hAnsi="Times New Roman"/>
          <w:b/>
          <w:i w:val="false"/>
          <w:color w:val="000000"/>
          <w:sz w:val="22"/>
        </w:rPr>
        <w:t xml:space="preserve">Application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a sales and use tax permit shall be made via GovConnectIowa or by other means prescribed by the department, and the applicant shall furnish all information requested on such form. An application for a permit for a business operating under a trade name shall state the trade name, as well as the individual owner’s name, in the case of a sole proprietorship by an individual, or the trade name and the name of all partners in the case of a partnership. The application shall state the date when the applicant will begin making taxable sales from the location for which the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charge for a sales and use tax permit. If a person makes retail sales from more than one location, each location from which taxable sales of tangible personal property, specified digital products, or services will occur shall be required to hold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color w:val="000000"/>
          <w:sz w:val="22"/>
        </w:rPr>
        <w:t xml:space="preserve">Signatures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The application shall be signed by the owner in the case of a sole proprietorship or a single-member LLC, or otherwise by an individual authorized to act on behalf of the business under rule </w:t>
      </w:r>
      <w:hyperlink r:id="rId10">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 xml:space="preserve">(17A,22,421,422).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applications. </w:t>
      </w:r>
      <w:r>
        <w:rPr>
          <w:rFonts w:ascii="Times New Roman" w:hAnsi="Times New Roman"/>
          <w:b w:val="false"/>
          <w:i w:val="false"/>
          <w:color w:val="000000"/>
          <w:sz w:val="22"/>
        </w:rPr>
        <w:t xml:space="preserve">For electronically transmitted applications, the signature must comply with rule </w:t>
      </w:r>
      <w:hyperlink r:id="rId11">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 xml:space="preserve">(17A,421) unless more specified requirements are described on the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w:t>
      </w:r>
      <w:r>
        <w:rPr>
          <w:rFonts w:ascii="Times New Roman" w:hAnsi="Times New Roman"/>
          <w:b w:val="false"/>
          <w:i w:val="false"/>
          <w:color w:val="000000"/>
          <w:sz w:val="22"/>
        </w:rPr>
        <w:t> </w:t>
      </w:r>
      <w:r>
        <w:rPr>
          <w:rFonts w:ascii="Times New Roman" w:hAnsi="Times New Roman"/>
          <w:b w:val="false"/>
          <w:i/>
          <w:color w:val="000000"/>
          <w:sz w:val="22"/>
        </w:rPr>
        <w:t xml:space="preserve">Retroactive permits and returns for prior periods. </w:t>
      </w:r>
      <w:r>
        <w:rPr>
          <w:rFonts w:ascii="Times New Roman" w:hAnsi="Times New Roman"/>
          <w:b w:val="false"/>
          <w:i w:val="false"/>
          <w:color w:val="000000"/>
          <w:sz w:val="22"/>
        </w:rPr>
        <w:t xml:space="preserve">A person may indicate on a permit application that the effective date of the permit is in a prior tax period. Returns must be filed for all prior tax periods dating back to the effective date of the permit. Penalty and interest applies pursuant to Iowa Code sections </w:t>
      </w:r>
      <w:hyperlink r:id="rId12">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xml:space="preserve">. Submission of a retroactive permit application makes a person ineligible for a voluntary disclosure agreement for those prior tax periods and does not prohibit the department from enforcing provisions of Iowa Code section </w:t>
      </w:r>
      <w:hyperlink r:id="rId14">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xml:space="preserve">, if applicable. </w:t>
      </w:r>
      <w:hyperlink r:id="rId15">
        <w:r>
          <w:rPr>
            <w:rStyle w:val="Hyperlink"/>
            <w:rFonts w:ascii="Times New Roman" w:hAnsi="Times New Roman"/>
            <w:b w:val="false"/>
            <w:i w:val="false"/>
            <w:color w:val="000000"/>
            <w:sz w:val="22"/>
          </w:rPr>
          <w:t>701—Chapter 19</w:t>
        </w:r>
      </w:hyperlink>
      <w:r>
        <w:rPr>
          <w:rFonts w:ascii="Times New Roman" w:hAnsi="Times New Roman"/>
          <w:b w:val="false"/>
          <w:i w:val="false"/>
          <w:color w:val="000000"/>
          <w:sz w:val="22"/>
        </w:rPr>
        <w:t xml:space="preserve"> contains more information about the voluntary disclosure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w:t>
      </w:r>
      <w:r>
        <w:rPr>
          <w:rFonts w:ascii="Times New Roman" w:hAnsi="Times New Roman"/>
          <w:b w:val="false"/>
          <w:i w:val="false"/>
          <w:color w:val="000000"/>
          <w:sz w:val="22"/>
        </w:rPr>
        <w:t> </w:t>
      </w:r>
      <w:r>
        <w:rPr>
          <w:rFonts w:ascii="Times New Roman" w:hAnsi="Times New Roman"/>
          <w:b w:val="false"/>
          <w:i/>
          <w:color w:val="000000"/>
          <w:sz w:val="22"/>
        </w:rPr>
        <w:t xml:space="preserve">Address only required for retail sales locations. </w:t>
      </w:r>
      <w:r>
        <w:rPr>
          <w:rFonts w:ascii="Times New Roman" w:hAnsi="Times New Roman"/>
          <w:b w:val="false"/>
          <w:i w:val="false"/>
          <w:color w:val="000000"/>
          <w:sz w:val="22"/>
        </w:rPr>
        <w:t>If a person is subject to sales tax and has physical presence or economic presence and is not making sales exclusively through a marketplace facilitator, the person shall provide a location for its sales and use tax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w:t>
      </w:r>
      <w:r>
        <w:rPr>
          <w:rFonts w:ascii="Times New Roman" w:hAnsi="Times New Roman"/>
          <w:b w:val="false"/>
          <w:i w:val="false"/>
          <w:color w:val="000000"/>
          <w:sz w:val="22"/>
        </w:rPr>
        <w:t> </w:t>
      </w:r>
      <w:r>
        <w:rPr>
          <w:rFonts w:ascii="Times New Roman" w:hAnsi="Times New Roman"/>
          <w:b w:val="false"/>
          <w:i/>
          <w:color w:val="000000"/>
          <w:sz w:val="22"/>
        </w:rPr>
        <w:t xml:space="preserve">Seasonal filers. </w:t>
      </w:r>
      <w:r>
        <w:rPr>
          <w:rFonts w:ascii="Times New Roman" w:hAnsi="Times New Roman"/>
          <w:b w:val="false"/>
          <w:i w:val="false"/>
          <w:color w:val="000000"/>
          <w:sz w:val="22"/>
        </w:rPr>
        <w:t>A seasonal business retailer with sales in up to four months during the calendar year may register to file a return and remit tax as a seasonal filer. The retailer will be expected to only file returns for the specific months in which the retailer conducts business as indicated by the retailer upon registration. The retailer will not be expected to file a return or remit tax for the other months of the year. Like any other retailer, the seasonal retailer must still notify the department when it ceases operation permanently; if it does not, it will receive a nonfiler notice from the department.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Retailer A plans to start selling Christmas trees annually starting in 2022. Retailer A only plans to sell trees in November and December each year. Retailer A may request to be designated as a seasonal filer such that it only is required to file returns for November and December each year. Retailer A fails to file a sales and use tax return for November 2029. Retailer A will receive a notice from the department even if Retailer A stopped selling trees after 2028.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701—201.3</w:t>
      </w:r>
      <w:r>
        <w:rPr>
          <w:rFonts w:ascii="Times New Roman" w:hAnsi="Times New Roman"/>
          <w:b/>
          <w:i w:val="false"/>
          <w:color w:val="000000"/>
          <w:sz w:val="22"/>
        </w:rPr>
        <w:t xml:space="preserve">(423) </w:t>
      </w:r>
      <w:r>
        <w:rPr>
          <w:rFonts w:ascii="Times New Roman" w:hAnsi="Times New Roman"/>
          <w:b/>
          <w:i w:val="false"/>
          <w:color w:val="000000"/>
          <w:sz w:val="22"/>
        </w:rPr>
        <w:t xml:space="preserve">Retailers selling nontaxable goods and services. </w:t>
      </w:r>
      <w:r>
        <w:rPr>
          <w:rFonts w:ascii="Times New Roman" w:hAnsi="Times New Roman"/>
          <w:b w:val="false"/>
          <w:i w:val="false"/>
          <w:color w:val="000000"/>
          <w:sz w:val="22"/>
        </w:rPr>
        <w:t xml:space="preserve">Persons regularly engaged in selling tangible personal property or a specified digital product that is exempt from tax, making nontaxable transactions, or performing a service that is not enumerated in Iowa Code section </w:t>
      </w:r>
      <w:hyperlink r:id="rId1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shall not be required to obtain a sales tax permit. However, if the retailer makes taxable sales or provides taxable services, the retailer will be required to hold a permit under the provisions of this chapter and Iowa Code section </w:t>
      </w:r>
      <w:hyperlink r:id="rId18">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701—201.4</w:t>
      </w:r>
      <w:r>
        <w:rPr>
          <w:rFonts w:ascii="Times New Roman" w:hAnsi="Times New Roman"/>
          <w:b/>
          <w:i w:val="false"/>
          <w:color w:val="000000"/>
          <w:sz w:val="22"/>
        </w:rPr>
        <w:t xml:space="preserve">(423) </w:t>
      </w:r>
      <w:r>
        <w:rPr>
          <w:rFonts w:ascii="Times New Roman" w:hAnsi="Times New Roman"/>
          <w:b/>
          <w:i w:val="false"/>
          <w:color w:val="000000"/>
          <w:sz w:val="22"/>
        </w:rPr>
        <w:t xml:space="preserve">Obtaining a new permit after voluntarily canceling a prior permit. </w:t>
      </w:r>
      <w:r>
        <w:rPr>
          <w:rFonts w:ascii="Times New Roman" w:hAnsi="Times New Roman"/>
          <w:b w:val="false"/>
          <w:i w:val="false"/>
          <w:color w:val="000000"/>
          <w:sz w:val="22"/>
        </w:rPr>
        <w:t xml:space="preserve">A person who previously held and canceled a permit who wishes to re-engage in business shall apply to the department for a new permit and file any previously unfiled tax returns. Upon receipt of the proper clearance for previous tax returns, a new permit may be issued if the relevant persons described in Iowa Code section </w:t>
      </w:r>
      <w:hyperlink r:id="rId20">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are not substantially delinquent in paying any tax due that is administered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701—201.5</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 not transferable—sale of business. </w:t>
      </w:r>
      <w:r>
        <w:rPr>
          <w:rFonts w:ascii="Times New Roman" w:hAnsi="Times New Roman"/>
          <w:b w:val="false"/>
          <w:i w:val="false"/>
          <w:color w:val="000000"/>
          <w:sz w:val="22"/>
        </w:rPr>
        <w:t>Permits shall not be transferable. The owner of a business holding a permit that sells the business shall cancel the permit, and the purchaser of the business shall apply for a new permit in the purchaser’s own name.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701—201.6</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location. </w:t>
      </w:r>
      <w:r>
        <w:rPr>
          <w:rFonts w:ascii="Times New Roman" w:hAnsi="Times New Roman"/>
          <w:b w:val="false"/>
          <w:i w:val="false"/>
          <w:color w:val="000000"/>
          <w:sz w:val="22"/>
        </w:rPr>
        <w:t>A business changing its location within the same county shall update its address with the department via GovConnectIowa or the form prescribed by the department. A business changing its location outside of the same county shall cancel its original permit and apply for a new permit. If a business does not have a stationary location, the business shall report its mailing address as its location.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701—201.7</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ownership or business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Change of business entity. </w:t>
      </w:r>
      <w:r>
        <w:rPr>
          <w:rFonts w:ascii="Times New Roman" w:hAnsi="Times New Roman"/>
          <w:b w:val="false"/>
          <w:i w:val="false"/>
          <w:color w:val="000000"/>
          <w:sz w:val="22"/>
        </w:rPr>
        <w:t xml:space="preserve">A retailer changing its business entity shall apply for a new permit under the name of the new entity. This includes but is not limited to such entity changes as proprietorship to partnership, partnership to corporation,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 xml:space="preserve">A business that changes ownership shall cancel its permit and reapply with the new federal employer identification number (FEIN).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701—201.8</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legal or operating name of a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color w:val="000000"/>
          <w:sz w:val="22"/>
        </w:rPr>
        <w:t xml:space="preserve">Change to legal name. </w:t>
      </w:r>
      <w:r>
        <w:rPr>
          <w:rFonts w:ascii="Times New Roman" w:hAnsi="Times New Roman"/>
          <w:b w:val="false"/>
          <w:i w:val="false"/>
          <w:color w:val="000000"/>
          <w:sz w:val="22"/>
        </w:rPr>
        <w:t>A retailer changing its legal name but maintaining its ownership may continue to use its existing sales and use tax permit. The retailer shall notify the department of the change in legal name and shall provide any form of documentation requested by the department proving the change in name before the department will change the legal name for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color w:val="000000"/>
          <w:sz w:val="22"/>
        </w:rPr>
        <w:t xml:space="preserve">Change to operating name. </w:t>
      </w:r>
      <w:r>
        <w:rPr>
          <w:rFonts w:ascii="Times New Roman" w:hAnsi="Times New Roman"/>
          <w:b w:val="false"/>
          <w:i w:val="false"/>
          <w:color w:val="000000"/>
          <w:sz w:val="22"/>
        </w:rPr>
        <w:t>A retailer changing its operating, or “doing business as,” name may continue using its existing sales and use tax permit. The retailer shall notify the department of the change in operating name. The department may require any documentation to update the operating name associated with the permit.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701—201.9</w:t>
      </w:r>
      <w:r>
        <w:rPr>
          <w:rFonts w:ascii="Times New Roman" w:hAnsi="Times New Roman"/>
          <w:b/>
          <w:i w:val="false"/>
          <w:color w:val="000000"/>
          <w:sz w:val="22"/>
        </w:rPr>
        <w:t xml:space="preserve">(423) </w:t>
      </w:r>
      <w:r>
        <w:rPr>
          <w:rFonts w:ascii="Times New Roman" w:hAnsi="Times New Roman"/>
          <w:b/>
          <w:i w:val="false"/>
          <w:color w:val="000000"/>
          <w:sz w:val="22"/>
        </w:rPr>
        <w:t xml:space="preserve">Trustees, receivers, executors and administrators. </w:t>
      </w:r>
      <w:r>
        <w:rPr>
          <w:rFonts w:ascii="Times New Roman" w:hAnsi="Times New Roman"/>
          <w:b w:val="false"/>
          <w:i w:val="false"/>
          <w:color w:val="000000"/>
          <w:sz w:val="22"/>
        </w:rPr>
        <w:t>By virtue of their appointment, trustees, receivers, executors and administrators who continue to operate, manage or control a business involving the sale of tangible personal property, specified digital products, or taxable services or engage in liquidating the assets of a business by means of sales made in the usual course of trade shall collect and remit tax on inventory and non-inventory items. A permit of a ward, decedent, cestui que trust, bankrupt, assignor or debtor for whom a receiver has been appointed, which is valid at the time a fiduciary relation is created, shall continue to be a valid permit for the fiduciary to continue the business for a reasonable time or to close out the business for the purpose of settling an estate or terminating or liquidating a trust or receivership.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701—201.10</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tax—denial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201.10(1)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factors. </w:t>
      </w:r>
      <w:r>
        <w:rPr>
          <w:rFonts w:ascii="Times New Roman" w:hAnsi="Times New Roman"/>
          <w:b w:val="false"/>
          <w:i w:val="false"/>
          <w:color w:val="000000"/>
          <w:sz w:val="22"/>
        </w:rPr>
        <w:t xml:space="preserve">For purposes of Iowa Code section </w:t>
      </w:r>
      <w:hyperlink r:id="rId27">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the department will consider the following nonexclusive factors when considering whether an applicant is substantially delinquent in paying a tax such that a permit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tax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filing periods for which a tax remains due and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length of time a tax has been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tax, interest, or penalty owed in relation to the applicant’s total financial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factors, which may be considered based on the specific facts and circumstances of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201.10(2)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department will deny a permit to any applicant or permittee who is an individual if the department has received a certificate of noncompliance from the child support recovery unit in regard to the individual, until the unit furnishes the department with a withdrawal of the certificate of noncompliance. The department will not deny a permit to any applicant that is an entity if the department has received a certificate of noncompliance from the child support recovery unit in regard to an individual who is an owner or officer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201.10(3)</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department will provide notice of a sales permit denial. The notice will contain a statement of facts or conduct and the provisions of law that warrant the denial of the license or the refusal to renew a license. The notice will provide the licensee or applicant with 30 days to request a hearing and information about how to contact the department to make such a request. Any request for a hearing or contested case of the department’s intent to deny a sales tax permit application is governed by rule </w:t>
      </w:r>
      <w:hyperlink r:id="rId28">
        <w:r>
          <w:rPr>
            <w:rStyle w:val="Hyperlink"/>
            <w:rFonts w:ascii="Times New Roman" w:hAnsi="Times New Roman"/>
            <w:b w:val="false"/>
            <w:i w:val="false"/>
            <w:color w:val="000000"/>
            <w:sz w:val="22"/>
          </w:rPr>
          <w:t>701—2506.4(17A)</w:t>
        </w:r>
      </w:hyperlink>
      <w:r>
        <w:rPr>
          <w:rFonts w:ascii="Times New Roman" w:hAnsi="Times New Roman"/>
          <w:b w:val="false"/>
          <w:i w:val="false"/>
          <w:color w:val="000000"/>
          <w:sz w:val="22"/>
        </w:rPr>
        <w:t xml:space="preserve">, and the contested rules in </w:t>
      </w:r>
      <w:hyperlink r:id="rId2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701—Chapter 2506</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701—201.11</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tax—revocation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of tax. </w:t>
      </w:r>
      <w:r>
        <w:rPr>
          <w:rFonts w:ascii="Times New Roman" w:hAnsi="Times New Roman"/>
          <w:b w:val="false"/>
          <w:i w:val="false"/>
          <w:color w:val="000000"/>
          <w:sz w:val="22"/>
        </w:rPr>
        <w:t xml:space="preserve">The department may revoke a permit if the permit holder has become substantially delinquent in paying any tax that is administered by the department or the interest or penalty on the tax. The department will consider the nonexclusive factors set forth in </w:t>
      </w:r>
      <w:hyperlink r:id="rId33">
        <w:r>
          <w:rPr>
            <w:rStyle w:val="Hyperlink"/>
            <w:rFonts w:ascii="Times New Roman" w:hAnsi="Times New Roman"/>
            <w:b w:val="false"/>
            <w:i w:val="false"/>
            <w:color w:val="000000"/>
            <w:sz w:val="22"/>
          </w:rPr>
          <w:t>subrule 201.10(1)</w:t>
        </w:r>
      </w:hyperlink>
      <w:r>
        <w:rPr>
          <w:rFonts w:ascii="Times New Roman" w:hAnsi="Times New Roman"/>
          <w:b w:val="false"/>
          <w:i w:val="false"/>
          <w:color w:val="000000"/>
          <w:sz w:val="22"/>
        </w:rPr>
        <w:t xml:space="preserve"> to determine whether there is a substantial 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holder of a revoked permit will not be permitted to obtain a new permit if the department has received a certificate of noncompliance from the child support recovery unit in regard to the permit holder who is an individual requesting reinstatement until the unit furnishes the department with a withdrawal of the certificate of noncompliance. The department will not revoke a permit from an entity if the department has received a certificate of noncompliance from the child support recovery unit in regard to an individual who is an owner or officer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201.11(3)</w:t>
      </w:r>
      <w:r>
        <w:rPr>
          <w:rFonts w:ascii="Times New Roman" w:hAnsi="Times New Roman"/>
          <w:b w:val="false"/>
          <w:i w:val="false"/>
          <w:color w:val="000000"/>
          <w:sz w:val="22"/>
        </w:rPr>
        <w:t> </w:t>
      </w:r>
      <w:r>
        <w:rPr>
          <w:rFonts w:ascii="Times New Roman" w:hAnsi="Times New Roman"/>
          <w:b w:val="false"/>
          <w:i/>
          <w:color w:val="000000"/>
          <w:sz w:val="22"/>
        </w:rPr>
        <w:t xml:space="preserve">Intent to revoke; opportunity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notice of intent to revoke a sales or use tax permit by ordinary mail.  A permittee will have 30 days to petition the department for a hearing on the proposed revocation.  If the permittee does not petition the department within 30 days, the permit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permittee files a petition for a hearing on the proposed revocation, the department will transmit the case to the division of administrative hearings unless retained by the director. The presiding offer will issue a notice of hearing by restricted certified mail or by personal service as in a civil case.   Notice shall contain a statement of facts or conduct and the provisions of law that warrant the revocation of the permit.  A hearing may be set no less than ten days from the date of the notice sent under this paragraph. The permittee will be given an opportunity to show at an evidentiary hearing conducted pursuant to rule </w:t>
      </w:r>
      <w:hyperlink r:id="rId34">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compliance with all lawful requirements for the retention of the permit.  The permittee may file a petition with the presiding officer prior to the hearing.  The department may, in its discretion, file an answer to a petition filed by the permittee prior to the hearing. Thereafter, rule </w:t>
      </w:r>
      <w:hyperlink r:id="rId35">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public health, safety, or welfare imperatively requires emergency action and the department incorporates a finding to that effect in an order to the permittee, summary suspension of a permittee shall be ordered pending proceedings for revocation as provided herein. These proceedings shall be promptly instituted and determined.  When a summary suspension as provided herein is ordered, a notice of the time, place and nature of the evidentiary hearing shall be attached to the order.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701—201.12</w:t>
      </w:r>
      <w:r>
        <w:rPr>
          <w:rFonts w:ascii="Times New Roman" w:hAnsi="Times New Roman"/>
          <w:b/>
          <w:i w:val="false"/>
          <w:color w:val="000000"/>
          <w:sz w:val="22"/>
        </w:rPr>
        <w:t xml:space="preserve">(423) </w:t>
      </w:r>
      <w:r>
        <w:rPr>
          <w:rFonts w:ascii="Times New Roman" w:hAnsi="Times New Roman"/>
          <w:b/>
          <w:i w:val="false"/>
          <w:color w:val="000000"/>
          <w:sz w:val="22"/>
        </w:rPr>
        <w:t xml:space="preserve">Obtaining a new permit after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taxpayer’s permit is revoked, the taxpayer may apply for a new permit. The new permit application will be granted or denied based on terms and conditions set forth by the department. Terms and conditions include payment of any tax liability that may be due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revocation of a sales and use tax permit, the taxpayer will be required to pay all delinquent tax liabilities, to file returns, and to refrain from taxable occurrences under Iowa Code section </w:t>
      </w:r>
      <w:hyperlink r:id="rId3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prior to the issuance of a new sales tax permit, and the director may require the taxpayer to post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impose a waiting period during which the person must refrain from taxable occurrences pursuant to the penalties of Iowa Code section </w:t>
      </w:r>
      <w:hyperlink r:id="rId38">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not to exceed 90 days, to issue a new permit after a revocation. The department may require a sworn affidavit, under penalty of perjury, stating that the person has fulfilled all requirements of said order of revocation and stating the dates on which the person refrained from taxable occurrences.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Each of the following situations will be considered one offense, for the purpose of determining the waiting period to reinstate a revoked permit or issue a new permit after a revocation,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post a bond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file a return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tax timely (including dishonored checks, failure to pay, and late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file a return and pay tax shown on the return timely (counts as two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201.12(5)</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director of revenue may order a waiting period after the revocation not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days for one through five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Seven days for six through seven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Ten days for eight through nine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Thirty days for ten offenses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201.12(6)</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director of revenue may order a waiting period not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Forty-five days if the second revocation occurs within 24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Sixty days if the second revocation occurs within 18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Ninety days if the second revocation occurs within 12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Ninety days if the third revocation occurs within 36 months of the second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201.12(7)</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permit will not be issued following revocation if the department has received a certificate of noncompliance from the child support recovery unit in regard to the permit holder until the unit furnishes the department with a withdrawal of the certificate of noncompliance. The department will not deny a permit to any applicant that is an entity if the department has received a certificate of noncompliance from the child support recovery unit in regard to an individual who is an owner or officer of the entity.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701—201.13</w:t>
      </w:r>
      <w:r>
        <w:rPr>
          <w:rFonts w:ascii="Times New Roman" w:hAnsi="Times New Roman"/>
          <w:b/>
          <w:i w:val="false"/>
          <w:color w:val="000000"/>
          <w:sz w:val="22"/>
        </w:rPr>
        <w:t xml:space="preserve">(423) </w:t>
      </w:r>
      <w:r>
        <w:rPr>
          <w:rFonts w:ascii="Times New Roman" w:hAnsi="Times New Roman"/>
          <w:b/>
          <w:i w:val="false"/>
          <w:color w:val="000000"/>
          <w:sz w:val="22"/>
        </w:rPr>
        <w:t xml:space="preserve">Administrative cancellation of permit. </w:t>
      </w:r>
      <w:r>
        <w:rPr>
          <w:rFonts w:ascii="Times New Roman" w:hAnsi="Times New Roman"/>
          <w:b w:val="false"/>
          <w:i w:val="false"/>
          <w:color w:val="000000"/>
          <w:sz w:val="22"/>
        </w:rPr>
        <w:t xml:space="preserve">The department may cancel a permit upon verification by the department that the permit is no longer in use.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421.17(37)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8150C</w:t>
      </w:r>
      <w:r>
        <w:rPr>
          <w:rFonts w:ascii="Times New Roman" w:hAnsi="Times New Roman"/>
          <w:b w:val="false"/>
          <w:i w:val="false"/>
          <w:color w:val="000000"/>
          <w:sz w:val="21"/>
        </w:rPr>
        <w:t xml:space="preserve"> (Notice ARC 7171C, IAB 12/13/23)</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4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4.pdf" Type="http://schemas.openxmlformats.org/officeDocument/2006/relationships/hyperlink" Id="rId5"/>
    <Relationship TargetMode="External" Target="https://www.legis.iowa.gov/docs/iac/rule/701.207.1.pdf" Type="http://schemas.openxmlformats.org/officeDocument/2006/relationships/hyperlink" Id="rId6"/>
    <Relationship TargetMode="External" Target="https://www.legis.iowa.gov/docs/iac/rule/701.207.1.pdf" Type="http://schemas.openxmlformats.org/officeDocument/2006/relationships/hyperlink" Id="rId7"/>
    <Relationship TargetMode="External" Target="https://www.legis.iowa.gov/docs/iac/rule/701.207.6.pdf" Type="http://schemas.openxmlformats.org/officeDocument/2006/relationships/hyperlink" Id="rId8"/>
    <Relationship TargetMode="External" Target="https://www.legis.iowa.gov/docs/ico/chapter/423.36.pdf" Type="http://schemas.openxmlformats.org/officeDocument/2006/relationships/hyperlink" Id="rId9"/>
    <Relationship TargetMode="External" Target="https://www.legis.iowa.gov/docs/iac/rule/701.7.6.pdf" Type="http://schemas.openxmlformats.org/officeDocument/2006/relationships/hyperlink" Id="rId10"/>
    <Relationship TargetMode="External" Target="https://www.legis.iowa.gov/docs/iac/rule/701.8.2.pdf" Type="http://schemas.openxmlformats.org/officeDocument/2006/relationships/hyperlink" Id="rId11"/>
    <Relationship TargetMode="External" Target="https://www.legis.iowa.gov/docs/ico/chapter/421.27.pdf" Type="http://schemas.openxmlformats.org/officeDocument/2006/relationships/hyperlink" Id="rId12"/>
    <Relationship TargetMode="External" Target="https://www.legis.iowa.gov/docs/ico/chapter/423.40.pdf" Type="http://schemas.openxmlformats.org/officeDocument/2006/relationships/hyperlink" Id="rId13"/>
    <Relationship TargetMode="External" Target="https://www.legis.iowa.gov/docs/ico/chapter/423.40.pdf" Type="http://schemas.openxmlformats.org/officeDocument/2006/relationships/hyperlink" Id="rId14"/>
    <Relationship TargetMode="External" Target="https://www.legis.iowa.gov/docs/iac/chapter/701.19.pdf" Type="http://schemas.openxmlformats.org/officeDocument/2006/relationships/hyperlink" Id="rId15"/>
    <Relationship TargetMode="External" Target="https://www.legis.iowa.gov/docs/ico/chapter/423.36.pdf" Type="http://schemas.openxmlformats.org/officeDocument/2006/relationships/hyperlink" Id="rId16"/>
    <Relationship TargetMode="External" Target="https://www.legis.iowa.gov/docs/ico/chapter/423.2.pdf" Type="http://schemas.openxmlformats.org/officeDocument/2006/relationships/hyperlink" Id="rId17"/>
    <Relationship TargetMode="External" Target="https://www.legis.iowa.gov/docs/ico/chapter/423.36.pdf" Type="http://schemas.openxmlformats.org/officeDocument/2006/relationships/hyperlink" Id="rId18"/>
    <Relationship TargetMode="External" Target="https://www.legis.iowa.gov/docs/ico/chapter/423.36.pdf" Type="http://schemas.openxmlformats.org/officeDocument/2006/relationships/hyperlink" Id="rId19"/>
    <Relationship TargetMode="External" Target="https://www.legis.iowa.gov/docs/ico/chapter/423.36.pdf" Type="http://schemas.openxmlformats.org/officeDocument/2006/relationships/hyperlink" Id="rId20"/>
    <Relationship TargetMode="External" Target="https://www.legis.iowa.gov/docs/ico/chapter/423.36.pdf" Type="http://schemas.openxmlformats.org/officeDocument/2006/relationships/hyperlink" Id="rId21"/>
    <Relationship TargetMode="External" Target="https://www.legis.iowa.gov/docs/ico/chapter/423.36.pdf" Type="http://schemas.openxmlformats.org/officeDocument/2006/relationships/hyperlink" Id="rId22"/>
    <Relationship TargetMode="External" Target="https://www.legis.iowa.gov/docs/ico/chapter/423.36.pdf" Type="http://schemas.openxmlformats.org/officeDocument/2006/relationships/hyperlink" Id="rId23"/>
    <Relationship TargetMode="External" Target="https://www.legis.iowa.gov/docs/ico/chapter/423.36.pdf" Type="http://schemas.openxmlformats.org/officeDocument/2006/relationships/hyperlink" Id="rId24"/>
    <Relationship TargetMode="External" Target="https://www.legis.iowa.gov/docs/ico/chapter/423.36.pdf" Type="http://schemas.openxmlformats.org/officeDocument/2006/relationships/hyperlink" Id="rId25"/>
    <Relationship TargetMode="External" Target="https://www.legis.iowa.gov/docs/ico/chapter/423.36.pdf" Type="http://schemas.openxmlformats.org/officeDocument/2006/relationships/hyperlink" Id="rId26"/>
    <Relationship TargetMode="External" Target="https://www.legis.iowa.gov/docs/ico/chapter/423.36.pdf" Type="http://schemas.openxmlformats.org/officeDocument/2006/relationships/hyperlink" Id="rId27"/>
    <Relationship TargetMode="External" Target="https://www.legis.iowa.gov/docs/iac/rule/701.2506.4.pdf" Type="http://schemas.openxmlformats.org/officeDocument/2006/relationships/hyperlink" Id="rId28"/>
    <Relationship TargetMode="External" Target="https://www.legis.iowa.gov/docs/iac/chapter/7.2506.pdf" Type="http://schemas.openxmlformats.org/officeDocument/2006/relationships/hyperlink" Id="rId29"/>
    <Relationship TargetMode="External" Target="https://www.legis.iowa.gov/docs/iac/chapter/701.2506.pdf" Type="http://schemas.openxmlformats.org/officeDocument/2006/relationships/hyperlink" Id="rId30"/>
    <Relationship TargetMode="External" Target="https://www.legis.iowa.gov/docs/ico/chapter/252J.7.pdf" Type="http://schemas.openxmlformats.org/officeDocument/2006/relationships/hyperlink" Id="rId31"/>
    <Relationship TargetMode="External" Target="https://www.legis.iowa.gov/docs/ico/chapter/423.36.pdf" Type="http://schemas.openxmlformats.org/officeDocument/2006/relationships/hyperlink" Id="rId32"/>
    <Relationship TargetMode="External" Target="https://www.legis.iowa.gov/docs/iac/rule/701.201.10.pdf" Type="http://schemas.openxmlformats.org/officeDocument/2006/relationships/hyperlink" Id="rId33"/>
    <Relationship TargetMode="External" Target="https://www.legis.iowa.gov/docs/iac/rule/701.7.18.pdf" Type="http://schemas.openxmlformats.org/officeDocument/2006/relationships/hyperlink" Id="rId34"/>
    <Relationship TargetMode="External" Target="https://www.legis.iowa.gov/docs/iac/rule/701.7.18.pdf" Type="http://schemas.openxmlformats.org/officeDocument/2006/relationships/hyperlink" Id="rId35"/>
    <Relationship TargetMode="External" Target="https://www.legis.iowa.gov/docs/ico/chapter/423.36.pdf" Type="http://schemas.openxmlformats.org/officeDocument/2006/relationships/hyperlink" Id="rId36"/>
    <Relationship TargetMode="External" Target="https://www.legis.iowa.gov/docs/ico/chapter/423.2.pdf" Type="http://schemas.openxmlformats.org/officeDocument/2006/relationships/hyperlink" Id="rId37"/>
    <Relationship TargetMode="External" Target="https://www.legis.iowa.gov/docs/ico/chapter/423.40.pdf" Type="http://schemas.openxmlformats.org/officeDocument/2006/relationships/hyperlink" Id="rId38"/>
    <Relationship TargetMode="External" Target="https://www.legis.iowa.gov/docs/ico/chapter/423.2.pdf" Type="http://schemas.openxmlformats.org/officeDocument/2006/relationships/hyperlink" Id="rId39"/>
    <Relationship TargetMode="External" Target="https://www.legis.iowa.gov/docs/ico/chapter/423.36.pdf" Type="http://schemas.openxmlformats.org/officeDocument/2006/relationships/hyperlink" Id="rId40"/>
    <Relationship TargetMode="External" Target="https://www.legis.iowa.gov/docs/ico/chapter/423.40.pdf" Type="http://schemas.openxmlformats.org/officeDocument/2006/relationships/hyperlink" Id="rId41"/>
    <Relationship TargetMode="External" Target="https://www.legis.iowa.gov/docs/ico/chapter/421.17.pdf" Type="http://schemas.openxmlformats.org/officeDocument/2006/relationships/hyperlink"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