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 xml:space="preserve">FILING AND EXTENSION OF TAX LIENS </w:t>
      </w:r>
      <w:r>
        <w:br/>
      </w:r>
      <w:r>
        <w:rPr>
          <w:rFonts w:ascii="Times New Roman" w:hAnsi="Times New Roman"/>
          <w:b w:val="false"/>
          <w:i w:val="false"/>
          <w:color w:val="000000"/>
          <w:sz w:val="21"/>
        </w:rPr>
        <w:t>AND CHARGING OFF UNCOLLECTIBLE TAX ACCOUNTS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701—20.1</w:t>
      </w:r>
      <w:r>
        <w:rPr>
          <w:rFonts w:ascii="Times New Roman" w:hAnsi="Times New Roman"/>
          <w:b/>
          <w:i w:val="false"/>
          <w:color w:val="000000"/>
          <w:sz w:val="22"/>
        </w:rPr>
        <w:t xml:space="preserve">(422,423)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 rules contained herein,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issued”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422.26(10)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“Charge off” </w:t>
      </w:r>
      <w:r>
        <w:rPr>
          <w:rFonts w:ascii="Times New Roman" w:hAnsi="Times New Roman"/>
          <w:b w:val="false"/>
          <w:i w:val="false"/>
          <w:color w:val="000000"/>
          <w:sz w:val="22"/>
        </w:rPr>
        <w:t xml:space="preserve">means moving an unpaid account to inactive status. “Charge off” does not mean the account is deleted from the department’s records or that the account is not due and owed. Charge off does not prevent the department from recovering all or part of the account through actions including but not limited to bankruptcy, probate, or setoff or through voluntary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“Lien” </w:t>
      </w:r>
      <w:r>
        <w:rPr>
          <w:rFonts w:ascii="Times New Roman" w:hAnsi="Times New Roman"/>
          <w:b w:val="false"/>
          <w:i w:val="false"/>
          <w:color w:val="000000"/>
          <w:sz w:val="22"/>
        </w:rPr>
        <w:t xml:space="preserve">means the legal right or interest against personal or real property provided by Iowa Code section </w:t>
      </w:r>
      <w:hyperlink r:id="rId6">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or other Iowa Code sections making reference to Iowa Code section </w:t>
      </w:r>
      <w:hyperlink r:id="rId7">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“Recorder” </w:t>
      </w:r>
      <w:r>
        <w:rPr>
          <w:rFonts w:ascii="Times New Roman" w:hAnsi="Times New Roman"/>
          <w:b w:val="false"/>
          <w:i w:val="false"/>
          <w:color w:val="000000"/>
          <w:sz w:val="22"/>
        </w:rPr>
        <w:t>means the county recorder of any county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 xml:space="preserve">means all taxes or charges administered by the department and any tax or charge to which Iowa Code section </w:t>
      </w:r>
      <w:hyperlink r:id="rId8">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701—20.2</w:t>
      </w:r>
      <w:r>
        <w:rPr>
          <w:rFonts w:ascii="Times New Roman" w:hAnsi="Times New Roman"/>
          <w:b/>
          <w:i w:val="false"/>
          <w:color w:val="000000"/>
          <w:sz w:val="22"/>
        </w:rPr>
        <w:t xml:space="preserve">(422,423) </w:t>
      </w:r>
      <w:r>
        <w:rPr>
          <w:rFonts w:ascii="Times New Roman" w:hAnsi="Times New Roman"/>
          <w:b/>
          <w:i w:val="false"/>
          <w:color w:val="000000"/>
          <w:sz w:val="22"/>
        </w:rPr>
        <w:t xml:space="preserve">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lien may be filed in the office of the recorder in any county.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val="false"/>
          <w:color w:val="000000"/>
          <w:sz w:val="22"/>
        </w:rPr>
        <w:t>The director may charge off any account before the lien has lapsed if the taxpayer meets one or more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is deceased, and there are no assets in the estate or there are no assets available for the payment of taxes under Iowa Code section </w:t>
      </w:r>
      <w:hyperlink r:id="rId9">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 is a corporation that has dissolved or ceased to exist with no assets remaining.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is retired because of age or total disability (as described in rule </w:t>
      </w:r>
      <w:hyperlink r:id="rId10">
        <w:r>
          <w:rPr>
            <w:rStyle w:val="Hyperlink"/>
            <w:rFonts w:ascii="Times New Roman" w:hAnsi="Times New Roman"/>
            <w:b w:val="false"/>
            <w:i w:val="false"/>
            <w:color w:val="000000"/>
            <w:sz w:val="22"/>
          </w:rPr>
          <w:t>701—104.12</w:t>
        </w:r>
      </w:hyperlink>
      <w:r>
        <w:rPr>
          <w:rFonts w:ascii="Times New Roman" w:hAnsi="Times New Roman"/>
          <w:b w:val="false"/>
          <w:i w:val="false"/>
          <w:color w:val="000000"/>
          <w:sz w:val="22"/>
        </w:rPr>
        <w:t>(425)) with income and assets such that it would cause the taxpayer undue financial hardship if the department enforced collection of past due taxes. The director may require other evidence to determine when collection of tax would be a hardship on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taxpayer has unpaid tax amounting to less than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taxpayer cannot be found, after diligent inquiry, and has no property upon which the lien can attach.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is insolvent with no property, real or personal, upon which the lien can attach.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701—20.3</w:t>
      </w:r>
      <w:r>
        <w:rPr>
          <w:rFonts w:ascii="Times New Roman" w:hAnsi="Times New Roman"/>
          <w:b/>
          <w:i w:val="false"/>
          <w:color w:val="000000"/>
          <w:sz w:val="22"/>
        </w:rPr>
        <w:t xml:space="preserve">(422,423)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sections </w:t>
      </w:r>
      <w:hyperlink r:id="rId11">
        <w:r>
          <w:rPr>
            <w:rStyle w:val="Hyperlink"/>
            <w:rFonts w:ascii="Times New Roman" w:hAnsi="Times New Roman"/>
            <w:b w:val="false"/>
            <w:i w:val="false"/>
            <w:color w:val="000000"/>
            <w:sz w:val="22"/>
          </w:rPr>
          <w:t>422.26(1)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331.604</w:t>
        </w:r>
      </w:hyperlink>
      <w:r>
        <w:rPr>
          <w:rFonts w:ascii="Times New Roman" w:hAnsi="Times New Roman"/>
          <w:b w:val="false"/>
          <w:i w:val="false"/>
          <w:color w:val="000000"/>
          <w:sz w:val="22"/>
        </w:rPr>
        <w:t xml:space="preserve">, a fee of $20 will be added to the unpaid liability of the taxpayer at the time the lien is filed. If two or more pages are required for the lien, an additional fee of $5 per page will be added to the unpaid liability of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11/10/77, Notice 10/5/77—published 11/30/77, effective 1/4/78]</w:t>
      </w:r>
    </w:p>
    <w:p>
      <w:pPr>
        <w:spacing w:before="0" w:after="0"/>
        <w:ind w:left="120"/>
        <w:jc w:val="center"/>
      </w:pPr>
      <w:r>
        <w:rPr>
          <w:rFonts w:ascii="Times New Roman" w:hAnsi="Times New Roman"/>
          <w:b w:val="false"/>
          <w:i w:val="false"/>
          <w:color w:val="000000"/>
          <w:sz w:val="21"/>
        </w:rPr>
        <w:t>[Filed 2/1/80, Notice 12/26/79—published 2/20/80, effective 3/26/80]</w:t>
      </w:r>
    </w:p>
    <w:p>
      <w:pPr>
        <w:spacing w:before="0" w:after="0"/>
        <w:ind w:left="120"/>
        <w:jc w:val="center"/>
      </w:pPr>
      <w:r>
        <w:rPr>
          <w:rFonts w:ascii="Times New Roman" w:hAnsi="Times New Roman"/>
          <w:b w:val="false"/>
          <w:i w:val="false"/>
          <w:color w:val="000000"/>
          <w:sz w:val="21"/>
        </w:rPr>
        <w:t>[Filed 6/5/81, Notice 4/29/81—published 6/24/81, effective 7/29/81]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1/29/82, Notice 12/23/81—published 2/17/82, effective 3/24/82]</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without Notice 6/12/89—published 6/28/89, effective 8/2/89]</w:t>
      </w:r>
    </w:p>
    <w:p>
      <w:pPr>
        <w:spacing w:before="0" w:after="0"/>
        <w:ind w:left="120"/>
        <w:jc w:val="center"/>
      </w:pPr>
      <w:r>
        <w:rPr>
          <w:rFonts w:ascii="Times New Roman" w:hAnsi="Times New Roman"/>
          <w:b w:val="false"/>
          <w:i w:val="false"/>
          <w:color w:val="000000"/>
          <w:sz w:val="21"/>
        </w:rPr>
        <w:t>[Filed 9/13/90, Notice 8/8/90—published 10/3/90, effective 11/7/90]</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7835C</w:t>
      </w:r>
      <w:r>
        <w:rPr>
          <w:rFonts w:ascii="Times New Roman" w:hAnsi="Times New Roman"/>
          <w:b w:val="false"/>
          <w:i w:val="false"/>
          <w:color w:val="000000"/>
          <w:sz w:val="21"/>
        </w:rPr>
        <w:t xml:space="preserve"> (Notice ARC 7181C, IAB 12/13/23)</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26.pdf" Type="http://schemas.openxmlformats.org/officeDocument/2006/relationships/hyperlink" Id="rId5"/>
    <Relationship TargetMode="External" Target="https://www.legis.iowa.gov/docs/ico/chapter/422.26.pdf" Type="http://schemas.openxmlformats.org/officeDocument/2006/relationships/hyperlink" Id="rId6"/>
    <Relationship TargetMode="External" Target="https://www.legis.iowa.gov/docs/ico/chapter/422.26.pdf" Type="http://schemas.openxmlformats.org/officeDocument/2006/relationships/hyperlink" Id="rId7"/>
    <Relationship TargetMode="External" Target="https://www.legis.iowa.gov/docs/ico/chapter/422.26.pdf" Type="http://schemas.openxmlformats.org/officeDocument/2006/relationships/hyperlink" Id="rId8"/>
    <Relationship TargetMode="External" Target="https://www.legis.iowa.gov/docs/ico/chapter/633.425.pdf" Type="http://schemas.openxmlformats.org/officeDocument/2006/relationships/hyperlink" Id="rId9"/>
    <Relationship TargetMode="External" Target="https://www.legis.iowa.gov/docs/iac/rule/701.104.12.pdf" Type="http://schemas.openxmlformats.org/officeDocument/2006/relationships/hyperlink" Id="rId10"/>
    <Relationship TargetMode="External" Target="https://www.legis.iowa.gov/docs/ico/chapter/422.26.pdf" Type="http://schemas.openxmlformats.org/officeDocument/2006/relationships/hyperlink" Id="rId11"/>
    <Relationship TargetMode="External" Target="https://www.legis.iowa.gov/docs/ico/chapter/331.604.pdf" Type="http://schemas.openxmlformats.org/officeDocument/2006/relationships/hyperlink" Id="rId12"/>
    <Relationship TargetMode="External" Target="https://www.legis.iowa.gov/docs/ico/chapter/422.2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