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111</w:t>
      </w:r>
    </w:p>
    <w:p>
      <w:pPr>
        <w:spacing w:before="0" w:after="0"/>
        <w:ind w:left="120"/>
        <w:jc w:val="center"/>
      </w:pPr>
      <w:r>
        <w:rPr>
          <w:rFonts w:ascii="Times New Roman" w:hAnsi="Times New Roman"/>
          <w:b w:val="false"/>
          <w:i w:val="false"/>
          <w:color w:val="000000"/>
          <w:sz w:val="21"/>
        </w:rPr>
        <w:t>ADMINISTRATION</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11/2/22, see Revenue Department[701] Ch 122]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701—111.1</w:t>
      </w:r>
      <w:r>
        <w:rPr>
          <w:rFonts w:ascii="Times New Roman" w:hAnsi="Times New Roman"/>
          <w:b/>
          <w:i w:val="false"/>
          <w:color w:val="000000"/>
          <w:sz w:val="22"/>
        </w:rPr>
        <w:t xml:space="preserve">(441) </w:t>
      </w:r>
      <w:r>
        <w:rPr>
          <w:rFonts w:ascii="Times New Roman" w:hAnsi="Times New Roman"/>
          <w:b/>
          <w:i w:val="false"/>
          <w:color w:val="000000"/>
          <w:sz w:val="22"/>
        </w:rPr>
        <w:t xml:space="preserve">Establishment. </w:t>
      </w:r>
      <w:r>
        <w:rPr>
          <w:rFonts w:ascii="Times New Roman" w:hAnsi="Times New Roman"/>
          <w:b w:val="false"/>
          <w:i w:val="false"/>
          <w:color w:val="000000"/>
          <w:sz w:val="22"/>
        </w:rPr>
        <w:t xml:space="preserve">Iowa Code section </w:t>
      </w:r>
      <w:hyperlink r:id="rId5">
        <w:r>
          <w:rPr>
            <w:rStyle w:val="Hyperlink"/>
            <w:rFonts w:ascii="Times New Roman" w:hAnsi="Times New Roman"/>
            <w:b w:val="false"/>
            <w:i w:val="false"/>
            <w:color w:val="000000"/>
            <w:sz w:val="22"/>
          </w:rPr>
          <w:t>441.8</w:t>
        </w:r>
      </w:hyperlink>
      <w:r>
        <w:rPr>
          <w:rFonts w:ascii="Times New Roman" w:hAnsi="Times New Roman"/>
          <w:b w:val="false"/>
          <w:i w:val="false"/>
          <w:color w:val="000000"/>
          <w:sz w:val="22"/>
        </w:rPr>
        <w:t xml:space="preserve"> established a program of continuing education to be developed and administered by the director of revenue, hereinafter referred to as the director. To administer the program, the director has established an assessor education advisory committee, hereinafter referred to as the committee.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441.8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701—111.2</w:t>
      </w:r>
      <w:r>
        <w:rPr>
          <w:rFonts w:ascii="Times New Roman" w:hAnsi="Times New Roman"/>
          <w:b/>
          <w:i w:val="false"/>
          <w:color w:val="000000"/>
          <w:sz w:val="22"/>
        </w:rPr>
        <w:t xml:space="preserve">(441) </w:t>
      </w:r>
      <w:r>
        <w:rPr>
          <w:rFonts w:ascii="Times New Roman" w:hAnsi="Times New Roman"/>
          <w:b/>
          <w:i w:val="false"/>
          <w:color w:val="000000"/>
          <w:sz w:val="22"/>
        </w:rPr>
        <w:t xml:space="preserve">General operation. </w:t>
      </w:r>
      <w:r>
        <w:rPr>
          <w:rFonts w:ascii="Times New Roman" w:hAnsi="Times New Roman"/>
          <w:b w:val="false"/>
          <w:i w:val="false"/>
          <w:color w:val="000000"/>
          <w:sz w:val="22"/>
        </w:rPr>
        <w:t>The chairperson of the committee shall be the director. The director shall appoint to the committee a representative of the local government services division of the department of revenue and two assessor representatives. The assessor representatives shall serve four-year staggered terms. To initiate the staggered-term policy, one assessor shall serve through December 31, 2009, and the other assessor shall serve through December 31, 2011. The committee will meet at least once each year.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441.8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i w:val="false"/>
          <w:color w:val="000000"/>
          <w:sz w:val="16"/>
        </w:rPr>
        <w:t>ARC 6958C</w:t>
      </w:r>
      <w:r>
        <w:rPr>
          <w:rFonts w:ascii="Times New Roman" w:hAnsi="Times New Roman"/>
          <w:b w:val="false"/>
          <w:i w:val="false"/>
          <w:color w:val="000000"/>
          <w:sz w:val="16"/>
        </w:rPr>
        <w:t>, IAB 3/22/23, effective 4/26/23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701—111.3</w:t>
      </w:r>
      <w:r>
        <w:rPr>
          <w:rFonts w:ascii="Times New Roman" w:hAnsi="Times New Roman"/>
          <w:b/>
          <w:i w:val="false"/>
          <w:color w:val="000000"/>
          <w:sz w:val="22"/>
        </w:rPr>
        <w:t xml:space="preserve">(441) </w:t>
      </w:r>
      <w:r>
        <w:rPr>
          <w:rFonts w:ascii="Times New Roman" w:hAnsi="Times New Roman"/>
          <w:b/>
          <w:i w:val="false"/>
          <w:color w:val="000000"/>
          <w:sz w:val="22"/>
        </w:rPr>
        <w:t xml:space="preserve">Location. </w:t>
      </w:r>
      <w:r>
        <w:rPr>
          <w:rFonts w:ascii="Times New Roman" w:hAnsi="Times New Roman"/>
          <w:b w:val="false"/>
          <w:i w:val="false"/>
          <w:color w:val="000000"/>
          <w:sz w:val="22"/>
        </w:rPr>
        <w:t>Persons may obtain information about the committee and its activities at the Department of Revenue in the Hoover State Office Building, Des Moines, Iowa 50319. Persons wishing to obtain information or make submissions should address their correspondence to that address.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441.8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701—111.4</w:t>
      </w:r>
      <w:r>
        <w:rPr>
          <w:rFonts w:ascii="Times New Roman" w:hAnsi="Times New Roman"/>
          <w:b/>
          <w:i w:val="false"/>
          <w:color w:val="000000"/>
          <w:sz w:val="22"/>
        </w:rPr>
        <w:t xml:space="preserve">(441) </w:t>
      </w:r>
      <w:r>
        <w:rPr>
          <w:rFonts w:ascii="Times New Roman" w:hAnsi="Times New Roman"/>
          <w:b/>
          <w:i w:val="false"/>
          <w:color w:val="000000"/>
          <w:sz w:val="22"/>
        </w:rPr>
        <w:t xml:space="preserve">Purpose. </w:t>
      </w:r>
      <w:r>
        <w:rPr>
          <w:rFonts w:ascii="Times New Roman" w:hAnsi="Times New Roman"/>
          <w:b w:val="false"/>
          <w:i w:val="false"/>
          <w:color w:val="000000"/>
          <w:sz w:val="22"/>
        </w:rPr>
        <w:t>The committee is established to assist the director in developing and administering a program of continuing education for Iowa assessors and deputy assessors. The program will emphasize assessment and appraisal procedures, assessment laws, rights and responsibilities of taxpayers and property owners related to the assessment of property for taxation, duties of assessors and deputy assessors, and other matters related to the positions of assessor and deputy assessor. The director, with the assistance of the committee, will designate the courses to be offered in the program, the content of the courses, and the number of hours of classroom instruction for each course. An evaluation of the program will be conducted at least annually with any necessary changes made.</w:t>
      </w:r>
    </w:p>
    <w:p>
      <w:pPr>
        <w:spacing w:before="0" w:after="0"/>
        <w:ind w:left="120"/>
        <w:jc w:val="both"/>
      </w:pPr>
      <w:r>
        <w:rPr>
          <w:rFonts w:ascii="Times New Roman" w:hAnsi="Times New Roman"/>
          <w:b w:val="false"/>
          <w:i w:val="false"/>
          <w:color w:val="000000"/>
          <w:sz w:val="22"/>
        </w:rPr>
        <w:t>The director shall certify those assessors and deputy assessors who have received sufficient credit to be eligible for reappointment to their present position.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441.8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5/25/79, Notice 4/18/79—published 6/13/79, effective 7/18/79]</w:t>
      </w:r>
    </w:p>
    <w:p>
      <w:pPr>
        <w:spacing w:before="0" w:after="0"/>
        <w:ind w:left="120"/>
        <w:jc w:val="center"/>
      </w:pPr>
      <w:r>
        <w:rPr>
          <w:rFonts w:ascii="Times New Roman" w:hAnsi="Times New Roman"/>
          <w:b w:val="false"/>
          <w:i w:val="false"/>
          <w:color w:val="000000"/>
          <w:sz w:val="21"/>
        </w:rPr>
        <w:t>[Filed 9/14/79, Notice 8/8/79—published 10/3/79, effective 11/7/79]</w:t>
      </w:r>
    </w:p>
    <w:p>
      <w:pPr>
        <w:spacing w:before="0" w:after="0"/>
        <w:ind w:left="120"/>
        <w:jc w:val="center"/>
      </w:pPr>
      <w:r>
        <w:rPr>
          <w:rFonts w:ascii="Times New Roman" w:hAnsi="Times New Roman"/>
          <w:b w:val="false"/>
          <w:i w:val="false"/>
          <w:color w:val="000000"/>
          <w:sz w:val="21"/>
        </w:rPr>
        <w:t>[Filed emergency 8/1/80—published 8/20/80, effective 8/1/80]</w:t>
      </w:r>
    </w:p>
    <w:p>
      <w:pPr>
        <w:spacing w:before="0" w:after="0"/>
        <w:ind w:left="120"/>
        <w:jc w:val="center"/>
      </w:pPr>
      <w:r>
        <w:rPr>
          <w:rFonts w:ascii="Times New Roman" w:hAnsi="Times New Roman"/>
          <w:b w:val="false"/>
          <w:i w:val="false"/>
          <w:color w:val="000000"/>
          <w:sz w:val="21"/>
        </w:rPr>
        <w:t>[Filed 11/7/80, Notice 10/1/80—published 11/26/80, effective 12/31/80]</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6/22/90, Notice 5/16/90—published 7/11/90, effective 8/15/90]</w:t>
      </w:r>
    </w:p>
    <w:p>
      <w:pPr>
        <w:spacing w:before="0" w:after="0"/>
        <w:ind w:left="120"/>
        <w:jc w:val="center"/>
      </w:pPr>
      <w:r>
        <w:rPr>
          <w:rFonts w:ascii="Times New Roman" w:hAnsi="Times New Roman"/>
          <w:b w:val="false"/>
          <w:i w:val="false"/>
          <w:color w:val="000000"/>
          <w:sz w:val="21"/>
        </w:rPr>
        <w:t>[Filed 12/19/01, Notice 11/14/01—published 1/9/02, effective 2/13/02]</w:t>
      </w:r>
    </w:p>
    <w:p>
      <w:pPr>
        <w:spacing w:before="0" w:after="0"/>
        <w:ind w:left="120"/>
        <w:jc w:val="center"/>
      </w:pPr>
      <w:r>
        <w:rPr>
          <w:rFonts w:ascii="Times New Roman" w:hAnsi="Times New Roman"/>
          <w:b w:val="false"/>
          <w:i w:val="false"/>
          <w:color w:val="000000"/>
          <w:sz w:val="21"/>
        </w:rPr>
        <w:t>[Filed 12/30/05, Notice 11/9/05—published 1/18/06, effective 2/22/06]</w:t>
      </w:r>
    </w:p>
    <w:p>
      <w:pPr>
        <w:spacing w:before="0" w:after="0"/>
        <w:ind w:left="120"/>
        <w:jc w:val="center"/>
      </w:pPr>
      <w:r>
        <w:rPr>
          <w:rFonts w:ascii="Times New Roman" w:hAnsi="Times New Roman"/>
          <w:b w:val="false"/>
          <w:i w:val="false"/>
          <w:color w:val="000000"/>
          <w:sz w:val="21"/>
        </w:rPr>
        <w:t>[Filed 2/8/08, Notice 1/2/08—published 2/27/08, effective 4/2/08]</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[Filed ARC 6958C</w:t>
      </w:r>
      <w:r>
        <w:rPr>
          <w:rFonts w:ascii="Times New Roman" w:hAnsi="Times New Roman"/>
          <w:b w:val="false"/>
          <w:i w:val="false"/>
          <w:color w:val="000000"/>
          <w:sz w:val="21"/>
        </w:rPr>
        <w:t xml:space="preserve"> (Notice ARC 6494C, IAB 9/7/22)</w:t>
      </w:r>
      <w:r>
        <w:rPr>
          <w:rFonts w:ascii="Times New Roman" w:hAnsi="Times New Roman"/>
          <w:b w:val="false"/>
          <w:i w:val="false"/>
          <w:color w:val="000000"/>
          <w:sz w:val="21"/>
        </w:rPr>
        <w:t>, IAB 3/22/23, effective 4/26/23]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41.8.pdf" Type="http://schemas.openxmlformats.org/officeDocument/2006/relationships/hyperlink" Id="rId5"/>
    <Relationship TargetMode="External" Target="https://www.legis.iowa.gov/docs/ico/chapter/441.8.pdf" Type="http://schemas.openxmlformats.org/officeDocument/2006/relationships/hyperlink" Id="rId6"/>
    <Relationship TargetMode="External" Target="https://www.legis.iowa.gov/docs/ico/chapter/441.8.pdf" Type="http://schemas.openxmlformats.org/officeDocument/2006/relationships/hyperlink" Id="rId7"/>
    <Relationship TargetMode="External" Target="https://www.legis.iowa.gov/docs/ico/chapter/441.8.pdf" Type="http://schemas.openxmlformats.org/officeDocument/2006/relationships/hyperlink" Id="rId8"/>
    <Relationship TargetMode="External" Target="https://www.legis.iowa.gov/docs/ico/chapter/441.8.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