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1105</w:t>
      </w:r>
    </w:p>
    <w:p>
      <w:pPr>
        <w:spacing w:before="0" w:after="0"/>
        <w:ind w:left="120"/>
        <w:jc w:val="center"/>
      </w:pPr>
      <w:r>
        <w:rPr>
          <w:rFonts w:ascii="Times New Roman" w:hAnsi="Times New Roman"/>
          <w:b w:val="false"/>
          <w:i w:val="false"/>
          <w:color w:val="000000"/>
          <w:sz w:val="21"/>
        </w:rPr>
        <w:t>PULL-TAB TICKET GENERAL RULES</w:t>
      </w:r>
    </w:p>
    <w:p>
      <w:pPr>
        <w:spacing w:before="0" w:after="0"/>
        <w:ind w:left="120"/>
        <w:jc w:val="center"/>
      </w:pPr>
      <w:r>
        <w:rPr>
          <w:rFonts w:ascii="Times New Roman" w:hAnsi="Times New Roman"/>
          <w:b w:val="false"/>
          <w:i w:val="false"/>
          <w:color w:val="000000"/>
          <w:sz w:val="14"/>
        </w:rPr>
        <w:t>[Prior to 9/17/03, see 705—Ch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701—1105.1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pull-tab games. </w:t>
      </w:r>
      <w:r>
        <w:rPr>
          <w:rFonts w:ascii="Times New Roman" w:hAnsi="Times New Roman"/>
          <w:b w:val="false"/>
          <w:i w:val="false"/>
          <w:color w:val="000000"/>
          <w:sz w:val="22"/>
        </w:rPr>
        <w:t>The lottery commission authorizes the lottery to sell pull-tab tickets meeting the criteria of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 </w:t>
      </w:r>
      <w:r>
        <w:rPr>
          <w:rFonts w:ascii="Times New Roman" w:hAnsi="Times New Roman"/>
          <w:b w:val="false"/>
          <w:i w:val="false"/>
          <w:color w:val="000000"/>
          <w:sz w:val="22"/>
        </w:rPr>
        <w:t>As used in this chapter, the following definition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“Pull-tab tickets” </w:t>
      </w:r>
      <w:r>
        <w:rPr>
          <w:rFonts w:ascii="Times New Roman" w:hAnsi="Times New Roman"/>
          <w:b w:val="false"/>
          <w:i w:val="false"/>
          <w:color w:val="000000"/>
          <w:sz w:val="22"/>
        </w:rPr>
        <w:t xml:space="preserve">means the same as “pull-tab ticket” or “pull-tab” as defined in Iowa Code section </w:t>
      </w:r>
      <w:hyperlink r:id="rId6">
        <w:r>
          <w:rPr>
            <w:rStyle w:val="Hyperlink"/>
            <w:rFonts w:ascii="Times New Roman" w:hAnsi="Times New Roman"/>
            <w:b w:val="false"/>
            <w:i w:val="false"/>
            <w:color w:val="000000"/>
            <w:sz w:val="22"/>
          </w:rPr>
          <w:t>99G.3(15)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701—1105.3</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A winning ticket is determined by matching, aligning, adding, or locating symbols or numbers under the tabs.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701—1105.4</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1105.4(1)</w:t>
      </w:r>
      <w:r>
        <w:rPr>
          <w:rFonts w:ascii="Times New Roman" w:hAnsi="Times New Roman"/>
          <w:b w:val="false"/>
          <w:i w:val="false"/>
          <w:color w:val="000000"/>
          <w:sz w:val="22"/>
        </w:rPr>
        <w:t> </w:t>
      </w:r>
      <w:r>
        <w:rPr>
          <w:rFonts w:ascii="Times New Roman" w:hAnsi="Times New Roman"/>
          <w:b w:val="false"/>
          <w:i/>
          <w:color w:val="000000"/>
          <w:sz w:val="22"/>
        </w:rPr>
        <w:t xml:space="preserve">Winning ticket requirements. </w:t>
      </w:r>
      <w:r>
        <w:rPr>
          <w:rFonts w:ascii="Times New Roman" w:hAnsi="Times New Roman"/>
          <w:b w:val="false"/>
          <w:i w:val="false"/>
          <w:color w:val="000000"/>
          <w:sz w:val="22"/>
        </w:rPr>
        <w:t>Winning tickets are validated by use of a symbol, number, or color-coded marking. A ticket is not valid if it fails to meet any of the following requirements. The ticket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issued by the Iowa lottery division in an authorized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altered, unreadable, reconstructed, or tampered with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be counterfeit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stolen or appear on any list of omitted tickets on file with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complete and not blank or partially blank, miscut, misregistered, defective, or printed or produced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the exact play symbols and captions specified in the game specific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Pass all validation tests, including confidential validation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1105.4(2)</w:t>
      </w:r>
      <w:r>
        <w:rPr>
          <w:rFonts w:ascii="Times New Roman" w:hAnsi="Times New Roman"/>
          <w:b w:val="false"/>
          <w:i w:val="false"/>
          <w:color w:val="000000"/>
          <w:sz w:val="22"/>
        </w:rPr>
        <w:t> </w:t>
      </w:r>
      <w:r>
        <w:rPr>
          <w:rFonts w:ascii="Times New Roman" w:hAnsi="Times New Roman"/>
          <w:b w:val="false"/>
          <w:i/>
          <w:color w:val="000000"/>
          <w:sz w:val="22"/>
        </w:rPr>
        <w:t xml:space="preserve">Lottery responsibility. </w:t>
      </w:r>
      <w:r>
        <w:rPr>
          <w:rFonts w:ascii="Times New Roman" w:hAnsi="Times New Roman"/>
          <w:b w:val="false"/>
          <w:i w:val="false"/>
          <w:color w:val="000000"/>
          <w:sz w:val="22"/>
        </w:rPr>
        <w:t>If a ticket is invalid when sold, it is not eligible to receive any prize and the purchaser’s sole remedy is to submit the ticket to the lottery division’s main office for a refund of the retail sale price. The lottery has no liability or responsibility for tickets invalidated after the time of sale.</w:t>
      </w:r>
    </w:p>
    <w:p>
      <w:pPr>
        <w:spacing w:before="0" w:after="0"/>
        <w:ind w:left="120"/>
        <w:jc w:val="both"/>
      </w:pPr>
      <w:r>
        <w:rPr>
          <w:rFonts w:ascii="Times New Roman" w:hAnsi="Times New Roman"/>
          <w:b w:val="false"/>
          <w:i w:val="false"/>
          <w:color w:val="000000"/>
          <w:sz w:val="22"/>
        </w:rPr>
        <w:t xml:space="preserve">The lottery division may choose to pay a sum equal to the prize on an invalid ticket if the lottery division is able to determine the prize that would have been won on the invalid ticket by use of a symbol, number, color code, or other mechanism. The lottery division’s determination that a ticket is valid or invalid, that a ticket was valid when sold and was subsequently invalidated, and whether a sum equal to the prize on an invalid ticket will be paid are binding on all participants in the lottery. A player who wishes to challenge a determination by the lottery division under this subrule may request a contested case proceeding as described in </w:t>
      </w:r>
      <w:hyperlink r:id="rId11">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r>
        <w:rPr>
          <w:rFonts w:ascii="Times New Roman" w:hAnsi="Times New Roman"/>
          <w:b w:val="false"/>
          <w:i w:val="false"/>
          <w:color w:val="000000"/>
          <w:sz w:val="22"/>
        </w:rPr>
        <w:t>The number and the amount of prizes for any specific pull-tab ticket game will be determined by the lottery division and set forth by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701—1105.6</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The overall probability of purchasing a winning ticket shall be stated on the lottery division’s website and in game literature made available by the lottery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701—1105.7</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1105.7(1)</w:t>
      </w:r>
      <w:r>
        <w:rPr>
          <w:rFonts w:ascii="Times New Roman" w:hAnsi="Times New Roman"/>
          <w:b w:val="false"/>
          <w:i w:val="false"/>
          <w:color w:val="000000"/>
          <w:sz w:val="22"/>
        </w:rPr>
        <w:t> </w:t>
      </w:r>
      <w:r>
        <w:rPr>
          <w:rFonts w:ascii="Times New Roman" w:hAnsi="Times New Roman"/>
          <w:b w:val="false"/>
          <w:i/>
          <w:color w:val="000000"/>
          <w:sz w:val="22"/>
        </w:rPr>
        <w:t xml:space="preserve">Claim period. </w:t>
      </w:r>
      <w:r>
        <w:rPr>
          <w:rFonts w:ascii="Times New Roman" w:hAnsi="Times New Roman"/>
          <w:b w:val="false"/>
          <w:i w:val="false"/>
          <w:color w:val="000000"/>
          <w:sz w:val="22"/>
        </w:rPr>
        <w:t>Prizes must be claimed within 90 days of the announced end of the pull-tab ticket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1105.7(2)</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retailer. </w:t>
      </w:r>
      <w:r>
        <w:rPr>
          <w:rFonts w:ascii="Times New Roman" w:hAnsi="Times New Roman"/>
          <w:b w:val="false"/>
          <w:i w:val="false"/>
          <w:color w:val="000000"/>
          <w:sz w:val="22"/>
        </w:rPr>
        <w:t>The game specific rules specify prizes that shall be claimed from the retailer. To claim a prize from a retailer, the winner shall sign the back of the winning ticket and fill out a claim form if required by the game specific rules. If a retailer can verify the claim, the retailer pays the prize. If a retailer cannot verify the claim, the player shall submit the ticket and a completed claim form to the lottery division. If the claim is validated by the lottery division, a draft shall be forwarded to the player in payment of the amount due. If the claim is not validated by the lottery division,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1105.7(3)</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a lottery division office. </w:t>
      </w:r>
      <w:r>
        <w:rPr>
          <w:rFonts w:ascii="Times New Roman" w:hAnsi="Times New Roman"/>
          <w:b w:val="false"/>
          <w:i w:val="false"/>
          <w:color w:val="000000"/>
          <w:sz w:val="22"/>
        </w:rPr>
        <w:t xml:space="preserve">Game specific rules specify prizes that may be claimed only from the lottery division. To claim a prize from the lottery division, the player may personally present the completed claim form obtained from a licensed retailer or any lottery office and the ticket to any lottery office or may mail the ticket and claim form to the Iowa Lottery Division main office as defined in rule </w:t>
      </w:r>
      <w:hyperlink r:id="rId20">
        <w:r>
          <w:rPr>
            <w:rStyle w:val="Hyperlink"/>
            <w:rFonts w:ascii="Times New Roman" w:hAnsi="Times New Roman"/>
            <w:b w:val="false"/>
            <w:i w:val="false"/>
            <w:color w:val="000000"/>
            <w:sz w:val="22"/>
          </w:rPr>
          <w:t>701—2.3</w:t>
        </w:r>
      </w:hyperlink>
      <w:r>
        <w:rPr>
          <w:rFonts w:ascii="Times New Roman" w:hAnsi="Times New Roman"/>
          <w:b w:val="false"/>
          <w:i w:val="false"/>
          <w:color w:val="000000"/>
          <w:sz w:val="22"/>
        </w:rPr>
        <w:t xml:space="preserve">(17A). If the claim is validated by the lottery division, the prize or a check, warrant, or draft will be forwarded to the player in payment of the amount due less any applicable state or federal income tax withholding and less any applicable setoff withheld under Iowa Code section </w:t>
      </w:r>
      <w:hyperlink r:id="rId21">
        <w:r>
          <w:rPr>
            <w:rStyle w:val="Hyperlink"/>
            <w:rFonts w:ascii="Times New Roman" w:hAnsi="Times New Roman"/>
            <w:b w:val="false"/>
            <w:i w:val="false"/>
            <w:color w:val="000000"/>
            <w:sz w:val="22"/>
          </w:rPr>
          <w:t>99G.41</w:t>
        </w:r>
      </w:hyperlink>
      <w:r>
        <w:rPr>
          <w:rFonts w:ascii="Times New Roman" w:hAnsi="Times New Roman"/>
          <w:b w:val="false"/>
          <w:i w:val="false"/>
          <w:color w:val="000000"/>
          <w:sz w:val="22"/>
        </w:rPr>
        <w:t>. If the claim is not validated by the lottery division, the claim is denied and the player will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1105.7(4)</w:t>
      </w:r>
      <w:r>
        <w:rPr>
          <w:rFonts w:ascii="Times New Roman" w:hAnsi="Times New Roman"/>
          <w:b w:val="false"/>
          <w:i w:val="false"/>
          <w:color w:val="000000"/>
          <w:sz w:val="22"/>
        </w:rPr>
        <w:t> </w:t>
      </w:r>
      <w:r>
        <w:rPr>
          <w:rFonts w:ascii="Times New Roman" w:hAnsi="Times New Roman"/>
          <w:b w:val="false"/>
          <w:i/>
          <w:color w:val="000000"/>
          <w:sz w:val="22"/>
        </w:rPr>
        <w:t xml:space="preserve">Variation by game specific rules. </w:t>
      </w:r>
      <w:r>
        <w:rPr>
          <w:rFonts w:ascii="Times New Roman" w:hAnsi="Times New Roman"/>
          <w:b w:val="false"/>
          <w:i w:val="false"/>
          <w:color w:val="000000"/>
          <w:sz w:val="22"/>
        </w:rPr>
        <w:t>Game specific rules may vary the terms of this rule in respect to the manner in which prizes are claimed or the claim period applicable to any pull-tab game or special event.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701—1105.8</w:t>
      </w:r>
      <w:r>
        <w:rPr>
          <w:rFonts w:ascii="Times New Roman" w:hAnsi="Times New Roman"/>
          <w:b/>
          <w:i w:val="false"/>
          <w:color w:val="000000"/>
          <w:sz w:val="22"/>
        </w:rPr>
        <w:t xml:space="preserve">(99G) </w:t>
      </w:r>
      <w:r>
        <w:rPr>
          <w:rFonts w:ascii="Times New Roman" w:hAnsi="Times New Roman"/>
          <w:b/>
          <w:i w:val="false"/>
          <w:color w:val="000000"/>
          <w:sz w:val="22"/>
        </w:rPr>
        <w:t xml:space="preserve">Disputed claim. </w:t>
      </w:r>
      <w:r>
        <w:rPr>
          <w:rFonts w:ascii="Times New Roman" w:hAnsi="Times New Roman"/>
          <w:b w:val="false"/>
          <w:i w:val="false"/>
          <w:color w:val="000000"/>
          <w:sz w:val="22"/>
        </w:rPr>
        <w:t xml:space="preserve">If a purchaser and a retailer cannot agree as to whether a prize should be paid on a ticket, the purchaser may submit the ticket to any lottery office. The lottery division’s determination as to whether a prize should be awarded is binding on all participants in the lottery. A player who wishes to challenge a determination by the lottery division under this subrule may request a contested case proceeding as described in </w:t>
      </w:r>
      <w:hyperlink r:id="rId25">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701—1105.9</w:t>
      </w:r>
      <w:r>
        <w:rPr>
          <w:rFonts w:ascii="Times New Roman" w:hAnsi="Times New Roman"/>
          <w:b/>
          <w:i w:val="false"/>
          <w:color w:val="000000"/>
          <w:sz w:val="22"/>
        </w:rPr>
        <w:t xml:space="preserve">(99G) </w:t>
      </w:r>
      <w:r>
        <w:rPr>
          <w:rFonts w:ascii="Times New Roman" w:hAnsi="Times New Roman"/>
          <w:b/>
          <w:i w:val="false"/>
          <w:color w:val="000000"/>
          <w:sz w:val="22"/>
        </w:rPr>
        <w:t xml:space="preserve">Lottery logo. </w:t>
      </w:r>
      <w:r>
        <w:rPr>
          <w:rFonts w:ascii="Times New Roman" w:hAnsi="Times New Roman"/>
          <w:b w:val="false"/>
          <w:i w:val="false"/>
          <w:color w:val="000000"/>
          <w:sz w:val="22"/>
        </w:rPr>
        <w:t>All pull-tab tickets sold by the lottery division are to be conspicuously marked with the logo of the lottery.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701—1105.10</w:t>
      </w:r>
      <w:r>
        <w:rPr>
          <w:rFonts w:ascii="Times New Roman" w:hAnsi="Times New Roman"/>
          <w:b/>
          <w:i w:val="false"/>
          <w:color w:val="000000"/>
          <w:sz w:val="22"/>
        </w:rPr>
        <w:t xml:space="preserve">(99G) </w:t>
      </w:r>
      <w:r>
        <w:rPr>
          <w:rFonts w:ascii="Times New Roman" w:hAnsi="Times New Roman"/>
          <w:b/>
          <w:i w:val="false"/>
          <w:color w:val="000000"/>
          <w:sz w:val="22"/>
        </w:rPr>
        <w:t xml:space="preserve">End of game. </w:t>
      </w:r>
      <w:r>
        <w:rPr>
          <w:rFonts w:ascii="Times New Roman" w:hAnsi="Times New Roman"/>
          <w:b w:val="false"/>
          <w:i w:val="false"/>
          <w:color w:val="000000"/>
          <w:sz w:val="22"/>
        </w:rPr>
        <w:t>The lottery division will announce the end of any pull-tab ticket game or games.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8921C</w:t>
      </w:r>
      <w:r>
        <w:rPr>
          <w:rFonts w:ascii="Times New Roman" w:hAnsi="Times New Roman"/>
          <w:b w:val="false"/>
          <w:i w:val="false"/>
          <w:color w:val="000000"/>
          <w:sz w:val="21"/>
        </w:rPr>
        <w:t xml:space="preserve"> (Notice ARC 8352C,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3.pdf" Type="http://schemas.openxmlformats.org/officeDocument/2006/relationships/hyperlink" Id="rId6"/>
    <Relationship TargetMode="External" Target="https://www.legis.iowa.gov/docs/ico/chapter/99G.3.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9.pdf" Type="http://schemas.openxmlformats.org/officeDocument/2006/relationships/hyperlink" Id="rId9"/>
    <Relationship TargetMode="External" Target="https://www.legis.iowa.gov/docs/ico/chapter/99G.21.pdf" Type="http://schemas.openxmlformats.org/officeDocument/2006/relationships/hyperlink" Id="rId10"/>
    <Relationship TargetMode="External" Target="https://www.legis.iowa.gov/docs/iac/chapter/701.6.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31.pdf" Type="http://schemas.openxmlformats.org/officeDocument/2006/relationships/hyperlink" Id="rId17"/>
    <Relationship TargetMode="External" Target="https://www.legis.iowa.gov/docs/ico/chapter/99G.9.pdf" Type="http://schemas.openxmlformats.org/officeDocument/2006/relationships/hyperlink" Id="rId18"/>
    <Relationship TargetMode="External" Target="https://www.legis.iowa.gov/docs/ico/chapter/99G.21.pdf" Type="http://schemas.openxmlformats.org/officeDocument/2006/relationships/hyperlink" Id="rId19"/>
    <Relationship TargetMode="External" Target="https://www.legis.iowa.gov/docs/iac/rule/701.2.3.pdf" Type="http://schemas.openxmlformats.org/officeDocument/2006/relationships/hyperlink" Id="rId20"/>
    <Relationship TargetMode="External" Target="https://www.legis.iowa.gov/docs/ico/chapter/99G.41.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31.pdf" Type="http://schemas.openxmlformats.org/officeDocument/2006/relationships/hyperlink" Id="rId24"/>
    <Relationship TargetMode="External" Target="https://www.legis.iowa.gov/docs/iac/chapter/701.6.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 TargetMode="External" Target="https://www.legis.iowa.gov/docs/ico/chapter/99G.31.pdf" Type="http://schemas.openxmlformats.org/officeDocument/2006/relationships/hyperlink" Id="rId28"/>
    <Relationship TargetMode="External" Target="https://www.legis.iowa.gov/docs/ico/chapter/99G.9.pdf" Type="http://schemas.openxmlformats.org/officeDocument/2006/relationships/hyperlink" Id="rId29"/>
    <Relationship TargetMode="External" Target="https://www.legis.iowa.gov/docs/ico/chapter/99G.21.pdf" Type="http://schemas.openxmlformats.org/officeDocument/2006/relationships/hyperlink" Id="rId30"/>
    <Relationship TargetMode="External" Target="https://www.legis.iowa.gov/docs/ico/chapter/99G.31.pdf" Type="http://schemas.openxmlformats.org/officeDocument/2006/relationships/hyperlink" Id="rId31"/>
    <Relationship TargetMode="External" Target="https://www.legis.iowa.gov/docs/ico/chapter/99G.9.pdf" Type="http://schemas.openxmlformats.org/officeDocument/2006/relationships/hyperlink" Id="rId32"/>
    <Relationship TargetMode="External" Target="https://www.legis.iowa.gov/docs/ico/chapter/99G.21.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