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XII</w:t>
      </w: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LOTTERY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1100</w:t>
      </w:r>
    </w:p>
    <w:p>
      <w:pPr>
        <w:spacing w:before="0" w:after="0"/>
        <w:ind w:left="120"/>
        <w:jc w:val="center"/>
      </w:pPr>
      <w:r>
        <w:rPr>
          <w:rFonts w:ascii="Times New Roman" w:hAnsi="Times New Roman"/>
          <w:b w:val="false"/>
          <w:i w:val="false"/>
          <w:color w:val="000000"/>
          <w:sz w:val="21"/>
        </w:rPr>
        <w:t xml:space="preserve">MISCELLANEOUS OPERATIONAL RULES OF THE LOTTERY </w:t>
      </w:r>
    </w:p>
    <w:p>
      <w:pPr>
        <w:spacing w:before="0" w:after="0"/>
        <w:ind w:left="120"/>
        <w:jc w:val="center"/>
      </w:pPr>
      <w:r>
        <w:rPr>
          <w:rFonts w:ascii="Times New Roman" w:hAnsi="Times New Roman"/>
          <w:b w:val="false"/>
          <w:i w:val="false"/>
          <w:color w:val="000000"/>
          <w:sz w:val="14"/>
        </w:rPr>
        <w:t>[Prior to 1/14/87, Iowa Lottery Agency[526] Ch 1]</w:t>
      </w:r>
    </w:p>
    <w:p>
      <w:pPr>
        <w:spacing w:before="0" w:after="0"/>
        <w:ind w:left="120"/>
        <w:jc w:val="center"/>
      </w:pPr>
      <w:r>
        <w:rPr>
          <w:rFonts w:ascii="Times New Roman" w:hAnsi="Times New Roman"/>
          <w:b w:val="false"/>
          <w:i w:val="false"/>
          <w:color w:val="000000"/>
          <w:sz w:val="14"/>
        </w:rPr>
        <w:t>[Prior to 9/17/03, see 705—Ch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701—1100.1</w:t>
      </w:r>
      <w:r>
        <w:rPr>
          <w:rFonts w:ascii="Times New Roman" w:hAnsi="Times New Roman"/>
          <w:b/>
          <w:i w:val="false"/>
          <w:color w:val="000000"/>
          <w:sz w:val="22"/>
        </w:rPr>
        <w:t xml:space="preserve">(99G) </w:t>
      </w:r>
      <w:r>
        <w:rPr>
          <w:rFonts w:ascii="Times New Roman" w:hAnsi="Times New Roman"/>
          <w:b/>
          <w:i w:val="false"/>
          <w:color w:val="000000"/>
          <w:sz w:val="22"/>
        </w:rPr>
        <w:t xml:space="preserve">Promotional use of tickets by persons without lottery licenses. </w:t>
      </w:r>
      <w:r>
        <w:rPr>
          <w:rFonts w:ascii="Times New Roman" w:hAnsi="Times New Roman"/>
          <w:b w:val="false"/>
          <w:i w:val="false"/>
          <w:color w:val="000000"/>
          <w:sz w:val="22"/>
        </w:rPr>
        <w:t xml:space="preserve">Tickets may be given away for promotional purposes by persons without a lottery license in conjunction with the purchase of a product or service or an admission fee without violating this provision provided that the actual cost of the product or service or admission fee is not calculated to include the ticket price, and the promotion is not designed, intended, or conducted to circumvent the department’s licensing requirements.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701—1100.2</w:t>
      </w:r>
      <w:r>
        <w:rPr>
          <w:rFonts w:ascii="Times New Roman" w:hAnsi="Times New Roman"/>
          <w:b/>
          <w:i w:val="false"/>
          <w:color w:val="000000"/>
          <w:sz w:val="22"/>
        </w:rPr>
        <w:t xml:space="preserve">(99G) </w:t>
      </w:r>
      <w:r>
        <w:rPr>
          <w:rFonts w:ascii="Times New Roman" w:hAnsi="Times New Roman"/>
          <w:b/>
          <w:i w:val="false"/>
          <w:color w:val="000000"/>
          <w:sz w:val="22"/>
        </w:rPr>
        <w:t xml:space="preserve">Background and informational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1100.2(1)</w:t>
      </w:r>
      <w:r>
        <w:rPr>
          <w:rFonts w:ascii="Times New Roman" w:hAnsi="Times New Roman"/>
          <w:b w:val="false"/>
          <w:i w:val="false"/>
          <w:color w:val="000000"/>
          <w:sz w:val="22"/>
        </w:rPr>
        <w:t> </w:t>
      </w:r>
      <w:r>
        <w:rPr>
          <w:rFonts w:ascii="Times New Roman" w:hAnsi="Times New Roman"/>
          <w:b w:val="false"/>
          <w:i w:val="false"/>
          <w:color w:val="000000"/>
          <w:sz w:val="22"/>
        </w:rPr>
        <w:t>All prospective vendors for major procurements, and any other prospective vendor  as required by the department, shall submit to criminal history and background investigations as conditions for submission of a bid. Any person identified as an officer, director, trustee, partner, sole proprietor, employee, or other person identified by the department as a key person in a sensitive position or relationship with a prospective vendor may also be required to submit to a criminal history and background investigation as required by the department.</w:t>
      </w:r>
    </w:p>
    <w:p>
      <w:pPr>
        <w:spacing w:before="0" w:after="0"/>
        <w:ind w:left="120"/>
        <w:jc w:val="both"/>
      </w:pPr>
      <w:r>
        <w:rPr>
          <w:rFonts w:ascii="Times New Roman" w:hAnsi="Times New Roman"/>
          <w:b w:val="false"/>
          <w:i w:val="false"/>
          <w:color w:val="000000"/>
          <w:sz w:val="22"/>
        </w:rPr>
        <w:t>Prospective vendors, and any individual identified as a key person, will comply with all requirements necessary for criminal history and background investigations as determined by the department. Failure to comply with all requirements may result in bid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1100.2(2)</w:t>
      </w:r>
      <w:r>
        <w:rPr>
          <w:rFonts w:ascii="Times New Roman" w:hAnsi="Times New Roman"/>
          <w:b w:val="false"/>
          <w:i w:val="false"/>
          <w:color w:val="000000"/>
          <w:sz w:val="22"/>
        </w:rPr>
        <w:t> </w:t>
      </w:r>
      <w:r>
        <w:rPr>
          <w:rFonts w:ascii="Times New Roman" w:hAnsi="Times New Roman"/>
          <w:b w:val="false"/>
          <w:i w:val="false"/>
          <w:color w:val="000000"/>
          <w:sz w:val="22"/>
        </w:rPr>
        <w:t>Any change in key personnel during the bidding process or during the contract term must be reported to the department before the change occurs. Replacement personnel will be subject to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1100.2(3)</w:t>
      </w:r>
      <w:r>
        <w:rPr>
          <w:rFonts w:ascii="Times New Roman" w:hAnsi="Times New Roman"/>
          <w:b w:val="false"/>
          <w:i w:val="false"/>
          <w:color w:val="000000"/>
          <w:sz w:val="22"/>
        </w:rPr>
        <w:t> </w:t>
      </w:r>
      <w:r>
        <w:rPr>
          <w:rFonts w:ascii="Times New Roman" w:hAnsi="Times New Roman"/>
          <w:b w:val="false"/>
          <w:i w:val="false"/>
          <w:color w:val="000000"/>
          <w:sz w:val="22"/>
        </w:rPr>
        <w:t>If a prospective vendor or any key personnel thereof  is found to have been convicted of any felony related to the security or integrity of the lottery in Iowa or any other jurisdiction, the prospective vendor will be automatically disqualified from the selection process without further investigation.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99G.22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8916C</w:t>
      </w:r>
      <w:r>
        <w:rPr>
          <w:rFonts w:ascii="Times New Roman" w:hAnsi="Times New Roman"/>
          <w:b w:val="false"/>
          <w:i w:val="false"/>
          <w:color w:val="000000"/>
          <w:sz w:val="21"/>
        </w:rPr>
        <w:t xml:space="preserve"> (Notice ARC 8347C,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5.pdf" Type="http://schemas.openxmlformats.org/officeDocument/2006/relationships/hyperlink" Id="rId6"/>
    <Relationship TargetMode="External" Target="https://www.legis.iowa.gov/docs/ico/chapter/99G.30.pdf" Type="http://schemas.openxmlformats.org/officeDocument/2006/relationships/hyperlink" Id="rId7"/>
    <Relationship TargetMode="External" Target="https://www.legis.iowa.gov/docs/ico/chapter/99G.7.pdf" Type="http://schemas.openxmlformats.org/officeDocument/2006/relationships/hyperlink" Id="rId8"/>
    <Relationship TargetMode="External" Target="https://www.legis.iowa.gov/docs/ico/chapter/99G.9.pdf" Type="http://schemas.openxmlformats.org/officeDocument/2006/relationships/hyperlink" Id="rId9"/>
    <Relationship TargetMode="External" Target="https://www.legis.iowa.gov/docs/ico/chapter/99G.21.pdf" Type="http://schemas.openxmlformats.org/officeDocument/2006/relationships/hyperlink" Id="rId10"/>
    <Relationship TargetMode="External" Target="https://www.legis.iowa.gov/docs/ico/chapter/99G.22.pdf" Type="http://schemas.openxmlformats.org/officeDocument/2006/relationships/hyperlink" Id="rId11"/>
    <Relationship TargetMode="External" Target="https://www.legis.iowa.gov/docs/ico/chapter/99G.2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