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109</w:t>
      </w:r>
    </w:p>
    <w:p>
      <w:pPr>
        <w:spacing w:before="0" w:after="0"/>
        <w:ind w:left="120"/>
        <w:jc w:val="center"/>
      </w:pPr>
      <w:r>
        <w:rPr>
          <w:rFonts w:ascii="Times New Roman" w:hAnsi="Times New Roman"/>
          <w:b w:val="false"/>
          <w:i w:val="false"/>
          <w:color w:val="000000"/>
          <w:sz w:val="21"/>
        </w:rPr>
        <w:t>REAL ESTATE TRANSFER TAX AND DECLARATIONS OF VALUE</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79]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701—109.1</w:t>
      </w:r>
      <w:r>
        <w:rPr>
          <w:rFonts w:ascii="Times New Roman" w:hAnsi="Times New Roman"/>
          <w:b/>
          <w:i w:val="false"/>
          <w:color w:val="000000"/>
          <w:sz w:val="22"/>
        </w:rPr>
        <w:t xml:space="preserve">(428A) </w:t>
      </w:r>
      <w:r>
        <w:rPr>
          <w:rFonts w:ascii="Times New Roman" w:hAnsi="Times New Roman"/>
          <w:b/>
          <w:i w:val="false"/>
          <w:color w:val="000000"/>
          <w:sz w:val="22"/>
        </w:rPr>
        <w:t xml:space="preserve">Real estate transfer tax: Responsibility of county recorders.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County recorders shall use only forms provided by the department of revenue for the collection of real estate transfer tax and the recording and reporting of such tax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w:t>
      </w:r>
      <w:r>
        <w:rPr>
          <w:rFonts w:ascii="Times New Roman" w:hAnsi="Times New Roman"/>
          <w:b w:val="false"/>
          <w:i w:val="false"/>
          <w:color w:val="000000"/>
          <w:sz w:val="22"/>
        </w:rPr>
        <w:t> </w:t>
      </w:r>
      <w:r>
        <w:rPr>
          <w:rFonts w:ascii="Times New Roman" w:hAnsi="Times New Roman"/>
          <w:b w:val="false"/>
          <w:i/>
          <w:color w:val="000000"/>
          <w:sz w:val="22"/>
        </w:rPr>
        <w:t xml:space="preserve">Monthly reports. </w:t>
      </w:r>
      <w:r>
        <w:rPr>
          <w:rFonts w:ascii="Times New Roman" w:hAnsi="Times New Roman"/>
          <w:b w:val="false"/>
          <w:i w:val="false"/>
          <w:color w:val="000000"/>
          <w:sz w:val="22"/>
        </w:rPr>
        <w:t>County recorders shall submit a report to the department of revenue on or before the tenth day of each month enumerating real estate transfer tax collection information for the preceding month. This report shall be submitted on forms prescribed by the department of revenue and shall contain such information as is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w:t>
      </w:r>
      <w:r>
        <w:rPr>
          <w:rFonts w:ascii="Times New Roman" w:hAnsi="Times New Roman"/>
          <w:b w:val="false"/>
          <w:i w:val="false"/>
          <w:color w:val="000000"/>
          <w:sz w:val="22"/>
        </w:rPr>
        <w:t> </w:t>
      </w:r>
      <w:r>
        <w:rPr>
          <w:rFonts w:ascii="Times New Roman" w:hAnsi="Times New Roman"/>
          <w:b w:val="false"/>
          <w:i/>
          <w:color w:val="000000"/>
          <w:sz w:val="22"/>
        </w:rPr>
        <w:t xml:space="preserve">Evidence of payment. </w:t>
      </w:r>
      <w:r>
        <w:rPr>
          <w:rFonts w:ascii="Times New Roman" w:hAnsi="Times New Roman"/>
          <w:b w:val="false"/>
          <w:i w:val="false"/>
          <w:color w:val="000000"/>
          <w:sz w:val="22"/>
        </w:rPr>
        <w:t>The recorder or authorized employee of the recorder must enter the tax payment amount on the face of the instrument of conveyance presented for recording.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109.1(4)</w:t>
      </w:r>
      <w:r>
        <w:rPr>
          <w:rFonts w:ascii="Times New Roman" w:hAnsi="Times New Roman"/>
          <w:b w:val="false"/>
          <w:i w:val="false"/>
          <w:color w:val="000000"/>
          <w:sz w:val="22"/>
        </w:rPr>
        <w:t> </w:t>
      </w:r>
      <w:r>
        <w:rPr>
          <w:rFonts w:ascii="Times New Roman" w:hAnsi="Times New Roman"/>
          <w:b w:val="false"/>
          <w:i/>
          <w:color w:val="000000"/>
          <w:sz w:val="22"/>
        </w:rPr>
        <w:t xml:space="preserve">Recording refused. </w:t>
      </w:r>
      <w:r>
        <w:rPr>
          <w:rFonts w:ascii="Times New Roman" w:hAnsi="Times New Roman"/>
          <w:b w:val="false"/>
          <w:i w:val="false"/>
          <w:color w:val="000000"/>
          <w:sz w:val="22"/>
        </w:rPr>
        <w:t xml:space="preserve">The county recorder shall refuse to record any deed, instrument, or writing regardless of any statement by the grantor, grantee, or their agents that the transaction is exempt pursuant to Iowa Code section </w:t>
      </w:r>
      <w:hyperlink r:id="rId5">
        <w:r>
          <w:rPr>
            <w:rStyle w:val="Hyperlink"/>
            <w:rFonts w:ascii="Times New Roman" w:hAnsi="Times New Roman"/>
            <w:b w:val="false"/>
            <w:i w:val="false"/>
            <w:color w:val="000000"/>
            <w:sz w:val="22"/>
          </w:rPr>
          <w:t>428A.2</w:t>
        </w:r>
      </w:hyperlink>
      <w:r>
        <w:rPr>
          <w:rFonts w:ascii="Times New Roman" w:hAnsi="Times New Roman"/>
          <w:b w:val="false"/>
          <w:i w:val="false"/>
          <w:color w:val="000000"/>
          <w:sz w:val="22"/>
        </w:rPr>
        <w:t>, if, in the recorder’s judgment, additional facts are necessary to clarify the taxable status of the transfer or determine the full consideration paid for the property. The county recorder may request from the grantor, grantee, or their agents, any information necessary to determine the taxable status of the transfer or the full amount of consideration involved in the transaction. County recorders under no circumstance shall record any deed or instrument of conveyance for which the proper amount of real estate transfer tax has not been collected. This applies to the collection of tax in excess of the amount due for the actual amount of consideration as well as situations in which an insufficient amount of tax has been collected.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w:t>
      </w:r>
      <w:r>
        <w:rPr>
          <w:rFonts w:ascii="Times New Roman" w:hAnsi="Times New Roman"/>
          <w:b w:val="false"/>
          <w:i w:val="false"/>
          <w:color w:val="000000"/>
          <w:sz w:val="22"/>
        </w:rPr>
        <w:t> </w:t>
      </w:r>
      <w:r>
        <w:rPr>
          <w:rFonts w:ascii="Times New Roman" w:hAnsi="Times New Roman"/>
          <w:b w:val="false"/>
          <w:i/>
          <w:color w:val="000000"/>
          <w:sz w:val="22"/>
        </w:rPr>
        <w:t xml:space="preserve">Refunds or underpayments.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County recorders shall not refund any overpayment of a real estate transfer tax. The grantor of the real property for which the real estate transfer tax has been overpaid shall petition the state appeal board for a refund of the overpayment amount paid to the treasurer of state. A refund of the remaining portion of the overpayment shall be petitioned from the board of supervisors of the county in which the tax was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Underpayments. </w:t>
      </w:r>
      <w:r>
        <w:rPr>
          <w:rFonts w:ascii="Times New Roman" w:hAnsi="Times New Roman"/>
          <w:b w:val="false"/>
          <w:i w:val="false"/>
          <w:color w:val="000000"/>
          <w:sz w:val="22"/>
        </w:rPr>
        <w:t>The county recorder shall collect any amount of tax found to be due. If the county recorder is unable to collect the tax, the director of revenue shall collect the tax in the same manner as income taxes are collected and pay the county its proportionate share.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109.1(6)</w:t>
      </w:r>
      <w:r>
        <w:rPr>
          <w:rFonts w:ascii="Times New Roman" w:hAnsi="Times New Roman"/>
          <w:b w:val="false"/>
          <w:i w:val="false"/>
          <w:color w:val="000000"/>
          <w:sz w:val="22"/>
        </w:rPr>
        <w:t> </w:t>
      </w:r>
      <w:r>
        <w:rPr>
          <w:rFonts w:ascii="Times New Roman" w:hAnsi="Times New Roman"/>
          <w:b w:val="false"/>
          <w:i/>
          <w:color w:val="000000"/>
          <w:sz w:val="22"/>
        </w:rPr>
        <w:t xml:space="preserve">Multiple parcels. </w:t>
      </w:r>
      <w:r>
        <w:rPr>
          <w:rFonts w:ascii="Times New Roman" w:hAnsi="Times New Roman"/>
          <w:b w:val="false"/>
          <w:i w:val="false"/>
          <w:color w:val="000000"/>
          <w:sz w:val="22"/>
        </w:rPr>
        <w:t>If the real estate conveyance contains multiple parcels and the parcels are located in more than one county, the tax is to be paid to each county in which the property parcels are located based on the consideration paid for each property parcel or proportionate parcel located in each county.</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428A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288</w:t>
      </w:r>
      <w:r>
        <w:rPr>
          <w:rFonts w:ascii="Times New Roman" w:hAnsi="Times New Roman"/>
          <w:b w:val="false"/>
          <w:i w:val="false"/>
          <w:color w:val="000000"/>
          <w:sz w:val="22"/>
        </w:rPr>
        <w:t>, section 17.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i w:val="false"/>
          <w:color w:val="000000"/>
          <w:sz w:val="16"/>
        </w:rPr>
        <w:t>ARC 8358B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701—109.2</w:t>
      </w:r>
      <w:r>
        <w:rPr>
          <w:rFonts w:ascii="Times New Roman" w:hAnsi="Times New Roman"/>
          <w:b/>
          <w:i w:val="false"/>
          <w:color w:val="000000"/>
          <w:sz w:val="22"/>
        </w:rPr>
        <w:t xml:space="preserve">(428A) </w:t>
      </w:r>
      <w:r>
        <w:rPr>
          <w:rFonts w:ascii="Times New Roman" w:hAnsi="Times New Roman"/>
          <w:b/>
          <w:i w:val="false"/>
          <w:color w:val="000000"/>
          <w:sz w:val="22"/>
        </w:rPr>
        <w:t xml:space="preserve">Taxable status of real estate transfers.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109.2(1)</w:t>
      </w:r>
      <w:r>
        <w:rPr>
          <w:rFonts w:ascii="Times New Roman" w:hAnsi="Times New Roman"/>
          <w:b w:val="false"/>
          <w:i w:val="false"/>
          <w:color w:val="000000"/>
          <w:sz w:val="22"/>
        </w:rPr>
        <w:t> </w:t>
      </w:r>
      <w:r>
        <w:rPr>
          <w:rFonts w:ascii="Times New Roman" w:hAnsi="Times New Roman"/>
          <w:b w:val="false"/>
          <w:i/>
          <w:color w:val="000000"/>
          <w:sz w:val="22"/>
        </w:rPr>
        <w:t xml:space="preserve">Federal rules and regulations. </w:t>
      </w:r>
      <w:r>
        <w:rPr>
          <w:rFonts w:ascii="Times New Roman" w:hAnsi="Times New Roman"/>
          <w:b w:val="false"/>
          <w:i w:val="false"/>
          <w:color w:val="000000"/>
          <w:sz w:val="22"/>
        </w:rPr>
        <w:t xml:space="preserve">In factual situations not covered by these rules and involving those portions of Iowa law which are consistent with the former federal statutes (26 U.S.C.A. 4361) that imposed a real estate transfer tax, the department of revenue and county recorders shall follow the federal rules and regulations in administering the provisions of Iowa Code chapter </w:t>
      </w:r>
      <w:hyperlink r:id="rId7">
        <w:r>
          <w:rPr>
            <w:rStyle w:val="Hyperlink"/>
            <w:rFonts w:ascii="Times New Roman" w:hAnsi="Times New Roman"/>
            <w:b w:val="false"/>
            <w:i w:val="false"/>
            <w:color w:val="000000"/>
            <w:sz w:val="22"/>
          </w:rPr>
          <w:t>428A</w:t>
        </w:r>
      </w:hyperlink>
      <w:r>
        <w:rPr>
          <w:rFonts w:ascii="Times New Roman" w:hAnsi="Times New Roman"/>
          <w:b w:val="false"/>
          <w:i w:val="false"/>
          <w:color w:val="000000"/>
          <w:sz w:val="22"/>
        </w:rPr>
        <w:t>. (1968 O.A.G. 643)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109.2(2)</w:t>
      </w:r>
      <w:r>
        <w:rPr>
          <w:rFonts w:ascii="Times New Roman" w:hAnsi="Times New Roman"/>
          <w:b w:val="false"/>
          <w:i w:val="false"/>
          <w:color w:val="000000"/>
          <w:sz w:val="22"/>
        </w:rPr>
        <w:t> </w:t>
      </w:r>
      <w:r>
        <w:rPr>
          <w:rFonts w:ascii="Times New Roman" w:hAnsi="Times New Roman"/>
          <w:b w:val="false"/>
          <w:i/>
          <w:color w:val="000000"/>
          <w:sz w:val="22"/>
        </w:rPr>
        <w:t xml:space="preserve">Transfer of realty to a corporation or partnership. </w:t>
      </w:r>
      <w:r>
        <w:rPr>
          <w:rFonts w:ascii="Times New Roman" w:hAnsi="Times New Roman"/>
          <w:b w:val="false"/>
          <w:i w:val="false"/>
          <w:color w:val="000000"/>
          <w:sz w:val="22"/>
        </w:rPr>
        <w:t xml:space="preserve">Capital stock, partnership shares and debt securities received in exchange for real property constitutes consideration which is subject to the real estate transfer tax. Where the value of the capital stock is definite or may be definitely determined in a dollar amount, the specific dollar amount is subject to the tax. Where the value of the capital stock is not definitely measurable in a dollar amount, the tax imposed is to be calculated on the fair market value of the realty transferred. For purposes of this rule, fair market value shall be as defined in Iowa Code section </w:t>
      </w:r>
      <w:hyperlink r:id="rId8">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(1976 O.A.G. 776)</w:t>
      </w:r>
    </w:p>
    <w:p>
      <w:pPr>
        <w:spacing w:before="0" w:after="0"/>
        <w:ind w:left="120"/>
        <w:jc w:val="both"/>
      </w:pPr>
      <w:r>
        <w:rPr>
          <w:rFonts w:ascii="Times New Roman" w:hAnsi="Times New Roman"/>
          <w:b w:val="false"/>
          <w:i w:val="false"/>
          <w:color w:val="000000"/>
          <w:sz w:val="22"/>
        </w:rPr>
        <w:t xml:space="preserve">Real estate transfer tax is not due when real property is conveyed to a family corporation, partnership, limited partnership, limited liability partnership, or limited liability company as defined in Iowa Code section </w:t>
      </w:r>
      <w:hyperlink r:id="rId9">
        <w:r>
          <w:rPr>
            <w:rStyle w:val="Hyperlink"/>
            <w:rFonts w:ascii="Times New Roman" w:hAnsi="Times New Roman"/>
            <w:b w:val="false"/>
            <w:i w:val="false"/>
            <w:color w:val="000000"/>
            <w:sz w:val="22"/>
          </w:rPr>
          <w:t>428A.2</w:t>
        </w:r>
      </w:hyperlink>
      <w:r>
        <w:rPr>
          <w:rFonts w:ascii="Times New Roman" w:hAnsi="Times New Roman"/>
          <w:b w:val="false"/>
          <w:i w:val="false"/>
          <w:color w:val="000000"/>
          <w:sz w:val="22"/>
        </w:rPr>
        <w:t xml:space="preserve"> in an incorporation or organization action where the only consideration is the issuance of capital stock, partnership shares, or debt securities of the corporation, partnership, limited partnership, limited liability partnership, or limited liability company. Actual consideration other than these shares or debt securities is subject to real estate transfer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109.2(3)</w:t>
      </w:r>
      <w:r>
        <w:rPr>
          <w:rFonts w:ascii="Times New Roman" w:hAnsi="Times New Roman"/>
          <w:b w:val="false"/>
          <w:i w:val="false"/>
          <w:color w:val="000000"/>
          <w:sz w:val="22"/>
        </w:rPr>
        <w:t> </w:t>
      </w:r>
      <w:r>
        <w:rPr>
          <w:rFonts w:ascii="Times New Roman" w:hAnsi="Times New Roman"/>
          <w:b w:val="false"/>
          <w:i/>
          <w:color w:val="000000"/>
          <w:sz w:val="22"/>
        </w:rPr>
        <w:t xml:space="preserve">Trades of real estate. </w:t>
      </w:r>
      <w:r>
        <w:rPr>
          <w:rFonts w:ascii="Times New Roman" w:hAnsi="Times New Roman"/>
          <w:b w:val="false"/>
          <w:i w:val="false"/>
          <w:color w:val="000000"/>
          <w:sz w:val="22"/>
        </w:rPr>
        <w:t>Real estate transfers involving the exchange of one piece of real property for another are transfers subject to the real estate transfer tax. Each grantor of the real estate is liable for the tax based on the fair market value of the property received in the trade as well as other consideration including but not limited to cash and assumption of debt. (1972 O.A.G. 654)</w:t>
      </w:r>
    </w:p>
    <w:p>
      <w:pPr>
        <w:spacing w:before="0" w:after="0"/>
        <w:ind w:left="120"/>
        <w:jc w:val="both"/>
      </w:pPr>
      <w:r>
        <w:rPr>
          <w:rFonts w:ascii="Times New Roman" w:hAnsi="Times New Roman"/>
          <w:b w:val="false"/>
          <w:i w:val="false"/>
          <w:color w:val="000000"/>
          <w:sz w:val="22"/>
        </w:rPr>
        <w:t xml:space="preserve">For purposes of this rule, fair market value shall be as defined in Iowa Code section </w:t>
      </w:r>
      <w:hyperlink r:id="rId10">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109.2(4)</w:t>
      </w:r>
      <w:r>
        <w:rPr>
          <w:rFonts w:ascii="Times New Roman" w:hAnsi="Times New Roman"/>
          <w:b w:val="false"/>
          <w:i w:val="false"/>
          <w:color w:val="000000"/>
          <w:sz w:val="22"/>
        </w:rPr>
        <w:t> </w:t>
      </w:r>
      <w:r>
        <w:rPr>
          <w:rFonts w:ascii="Times New Roman" w:hAnsi="Times New Roman"/>
          <w:b w:val="false"/>
          <w:i/>
          <w:color w:val="000000"/>
          <w:sz w:val="22"/>
        </w:rPr>
        <w:t xml:space="preserve">Conveyance to the United States government or the state of Iowa. </w:t>
      </w:r>
      <w:r>
        <w:rPr>
          <w:rFonts w:ascii="Times New Roman" w:hAnsi="Times New Roman"/>
          <w:b w:val="false"/>
          <w:i w:val="false"/>
          <w:color w:val="000000"/>
          <w:sz w:val="22"/>
        </w:rPr>
        <w:t xml:space="preserve">Any conveyance of real estate to the United States or any agency or instrumentality thereof or to the state of Iowa or any agency, instrumentality, or political subdivision thereof not exempt from the real estate transfer tax pursuant to Iowa Code section </w:t>
      </w:r>
      <w:hyperlink r:id="rId11">
        <w:r>
          <w:rPr>
            <w:rStyle w:val="Hyperlink"/>
            <w:rFonts w:ascii="Times New Roman" w:hAnsi="Times New Roman"/>
            <w:b w:val="false"/>
            <w:i w:val="false"/>
            <w:color w:val="000000"/>
            <w:sz w:val="22"/>
          </w:rPr>
          <w:t>428A.2</w:t>
        </w:r>
      </w:hyperlink>
      <w:r>
        <w:rPr>
          <w:rFonts w:ascii="Times New Roman" w:hAnsi="Times New Roman"/>
          <w:b w:val="false"/>
          <w:i w:val="false"/>
          <w:color w:val="000000"/>
          <w:sz w:val="22"/>
        </w:rPr>
        <w:t>, is subject to the real estate transfer tax. (1968 O.A.G. 579) An exception to this rule is any conveyance to the United States Department of Agriculture, Farmers Home Administration, which is specifically exempted by federal law (7 U.S.C.S. §1984).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109.2(5)</w:t>
      </w:r>
      <w:r>
        <w:rPr>
          <w:rFonts w:ascii="Times New Roman" w:hAnsi="Times New Roman"/>
          <w:b w:val="false"/>
          <w:i w:val="false"/>
          <w:color w:val="000000"/>
          <w:sz w:val="22"/>
        </w:rPr>
        <w:t> </w:t>
      </w:r>
      <w:r>
        <w:rPr>
          <w:rFonts w:ascii="Times New Roman" w:hAnsi="Times New Roman"/>
          <w:b w:val="false"/>
          <w:i/>
          <w:color w:val="000000"/>
          <w:sz w:val="22"/>
        </w:rPr>
        <w:t xml:space="preserve">Conveyance of property on leased land. </w:t>
      </w:r>
      <w:r>
        <w:rPr>
          <w:rFonts w:ascii="Times New Roman" w:hAnsi="Times New Roman"/>
          <w:b w:val="false"/>
          <w:i w:val="false"/>
          <w:color w:val="000000"/>
          <w:sz w:val="22"/>
        </w:rPr>
        <w:t>The transfer of buildings or other structures located on leased land is subject to the real estate transfer tax. The fact that the person who owns a building or other structure does not own the land upon which the property is located does not exempt this type of conveyance from the real estate transfer tax. (1972 O.A.G. 318)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109.2(6)</w:t>
      </w:r>
      <w:r>
        <w:rPr>
          <w:rFonts w:ascii="Times New Roman" w:hAnsi="Times New Roman"/>
          <w:b w:val="false"/>
          <w:i w:val="false"/>
          <w:color w:val="000000"/>
          <w:sz w:val="22"/>
        </w:rPr>
        <w:t> </w:t>
      </w:r>
      <w:r>
        <w:rPr>
          <w:rFonts w:ascii="Times New Roman" w:hAnsi="Times New Roman"/>
          <w:b w:val="false"/>
          <w:i/>
          <w:color w:val="000000"/>
          <w:sz w:val="22"/>
        </w:rPr>
        <w:t xml:space="preserve">Mortgage default. </w:t>
      </w:r>
      <w:r>
        <w:rPr>
          <w:rFonts w:ascii="Times New Roman" w:hAnsi="Times New Roman"/>
          <w:b w:val="false"/>
          <w:i w:val="false"/>
          <w:color w:val="000000"/>
          <w:sz w:val="22"/>
        </w:rPr>
        <w:t>In the factual situation where a defaulting mortgagor issues a deed or other conveyance instrument to the mortgagee as satisfaction of the mortgage debt, the transaction is subject to the real estate transfer tax. The consideration upon which the tax is calculated is the outstanding unsatisfied mortgage debt.</w:t>
      </w:r>
    </w:p>
    <w:p>
      <w:pPr>
        <w:spacing w:before="0" w:after="0"/>
        <w:ind w:left="120"/>
        <w:jc w:val="both"/>
      </w:pPr>
      <w:r>
        <w:rPr>
          <w:rFonts w:ascii="Times New Roman" w:hAnsi="Times New Roman"/>
          <w:b w:val="false"/>
          <w:i w:val="false"/>
          <w:color w:val="000000"/>
          <w:sz w:val="22"/>
        </w:rPr>
        <w:t>However, as an exception to this rule, a conveyance of real property to lienholders in lieu of forfeiture or foreclosure action is exempt from real estate transfer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109.2(7)</w:t>
      </w:r>
      <w:r>
        <w:rPr>
          <w:rFonts w:ascii="Times New Roman" w:hAnsi="Times New Roman"/>
          <w:b w:val="false"/>
          <w:i w:val="false"/>
          <w:color w:val="000000"/>
          <w:sz w:val="22"/>
        </w:rPr>
        <w:t> </w:t>
      </w:r>
      <w:r>
        <w:rPr>
          <w:rFonts w:ascii="Times New Roman" w:hAnsi="Times New Roman"/>
          <w:b w:val="false"/>
          <w:i/>
          <w:color w:val="000000"/>
          <w:sz w:val="22"/>
        </w:rPr>
        <w:t xml:space="preserve">Completion of contract. </w:t>
      </w:r>
      <w:r>
        <w:rPr>
          <w:rFonts w:ascii="Times New Roman" w:hAnsi="Times New Roman"/>
          <w:b w:val="false"/>
          <w:i w:val="false"/>
          <w:color w:val="000000"/>
          <w:sz w:val="22"/>
        </w:rPr>
        <w:t>A deed or other conveyance instrument given at the time of completion of a single real estate contract is subject to the real estate transfer tax. The tax is to be computed on the full amount of the purchase price as stated in the contract and not solely on the last installment payment made prior to the issuance of the deed or other conveyance instrument. If the original contract is assigned to a third party or parties prior to fulfillment of such contract, the tax is to be computed only on the original contract price upon completion of the contract.</w:t>
      </w:r>
    </w:p>
    <w:p>
      <w:pPr>
        <w:spacing w:before="0" w:after="0"/>
        <w:ind w:left="120"/>
        <w:jc w:val="both"/>
      </w:pPr>
      <w:r>
        <w:rPr>
          <w:rFonts w:ascii="Times New Roman" w:hAnsi="Times New Roman"/>
          <w:b w:val="false"/>
          <w:i w:val="false"/>
          <w:color w:val="000000"/>
          <w:sz w:val="22"/>
        </w:rPr>
        <w:t>When a single deed or other conveyance instrument is given at the time of completion of multiple successive real estate contracts, separate taxes are to be computed and paid based upon the full purchase price stated in each contract. For example, if A sells real estate to B on an installment contract, and then B sells the same property to C on another installment contract, and subsequently both A and B transfer their respective interests in the property to C via one deed, A is liable for a tax computed on the full purchase price stated in the original contract to which A was a party and B is liable for a tax computed on the full purchase price stated in the subsequent contract to which B was a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109.2(8)</w:t>
      </w:r>
      <w:r>
        <w:rPr>
          <w:rFonts w:ascii="Times New Roman" w:hAnsi="Times New Roman"/>
          <w:b w:val="false"/>
          <w:i w:val="false"/>
          <w:color w:val="000000"/>
          <w:sz w:val="22"/>
        </w:rPr>
        <w:t> </w:t>
      </w:r>
      <w:r>
        <w:rPr>
          <w:rFonts w:ascii="Times New Roman" w:hAnsi="Times New Roman"/>
          <w:b w:val="false"/>
          <w:i/>
          <w:color w:val="000000"/>
          <w:sz w:val="22"/>
        </w:rPr>
        <w:t xml:space="preserve">Assignments of contract. </w:t>
      </w:r>
      <w:r>
        <w:rPr>
          <w:rFonts w:ascii="Times New Roman" w:hAnsi="Times New Roman"/>
          <w:b w:val="false"/>
          <w:i w:val="false"/>
          <w:color w:val="000000"/>
          <w:sz w:val="22"/>
        </w:rPr>
        <w:t>Assignments of real estate contracts by contract sellers and contract buyers are not subject to the real estate transfer tax. (1970 O.A.G. 605)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109.2(9)</w:t>
      </w:r>
      <w:r>
        <w:rPr>
          <w:rFonts w:ascii="Times New Roman" w:hAnsi="Times New Roman"/>
          <w:b w:val="false"/>
          <w:i w:val="false"/>
          <w:color w:val="000000"/>
          <w:sz w:val="22"/>
        </w:rPr>
        <w:t> </w:t>
      </w:r>
      <w:r>
        <w:rPr>
          <w:rFonts w:ascii="Times New Roman" w:hAnsi="Times New Roman"/>
          <w:b w:val="false"/>
          <w:i/>
          <w:color w:val="000000"/>
          <w:sz w:val="22"/>
        </w:rPr>
        <w:t xml:space="preserve">Corporate and partnership dissolution. </w:t>
      </w:r>
      <w:r>
        <w:rPr>
          <w:rFonts w:ascii="Times New Roman" w:hAnsi="Times New Roman"/>
          <w:b w:val="false"/>
          <w:i w:val="false"/>
          <w:color w:val="000000"/>
          <w:sz w:val="22"/>
        </w:rPr>
        <w:t>A conveyance of realty by a corporation or partnership in liquidation or in dissolution to its shareholders or partners subject to the debts of the corporation or partnership is a conveyance subject to the real estate transfer tax. However, if there are no debts and the conveyance is made solely for the cancellation and retirement of the capital stock or dissolution, the tax does not apply.</w:t>
      </w:r>
    </w:p>
    <w:p>
      <w:pPr>
        <w:spacing w:before="0" w:after="0"/>
        <w:ind w:left="120"/>
        <w:jc w:val="both"/>
      </w:pPr>
      <w:r>
        <w:rPr>
          <w:rFonts w:ascii="Times New Roman" w:hAnsi="Times New Roman"/>
          <w:b w:val="false"/>
          <w:i w:val="false"/>
          <w:color w:val="000000"/>
          <w:sz w:val="22"/>
        </w:rPr>
        <w:t xml:space="preserve">Real estate transfer tax is not due when real property is conveyed from a family corporation, partnership, limited partnership, limited liability partnership, or limited liability company as defined in Iowa Code section </w:t>
      </w:r>
      <w:hyperlink r:id="rId12">
        <w:r>
          <w:rPr>
            <w:rStyle w:val="Hyperlink"/>
            <w:rFonts w:ascii="Times New Roman" w:hAnsi="Times New Roman"/>
            <w:b w:val="false"/>
            <w:i w:val="false"/>
            <w:color w:val="000000"/>
            <w:sz w:val="22"/>
          </w:rPr>
          <w:t>428A.2</w:t>
        </w:r>
      </w:hyperlink>
      <w:r>
        <w:rPr>
          <w:rFonts w:ascii="Times New Roman" w:hAnsi="Times New Roman"/>
          <w:b w:val="false"/>
          <w:i w:val="false"/>
          <w:color w:val="000000"/>
          <w:sz w:val="22"/>
        </w:rPr>
        <w:t xml:space="preserve"> to its shareholders, partners, or members in a dissolution action where the only consideration is capital stock, partnership shares, or debt securities of the corporation, partnership, limited partnership, limited liability partnership, or limited liability company, including the assumption of debts by the shareholders, partners, or members. Actual consideration other than these shares or debt securities is subject to the real estate transfer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109.2(10)</w:t>
      </w:r>
      <w:r>
        <w:rPr>
          <w:rFonts w:ascii="Times New Roman" w:hAnsi="Times New Roman"/>
          <w:b w:val="false"/>
          <w:i w:val="false"/>
          <w:color w:val="000000"/>
          <w:sz w:val="22"/>
        </w:rPr>
        <w:t> </w:t>
      </w:r>
      <w:r>
        <w:rPr>
          <w:rFonts w:ascii="Times New Roman" w:hAnsi="Times New Roman"/>
          <w:b w:val="false"/>
          <w:i/>
          <w:color w:val="000000"/>
          <w:sz w:val="22"/>
        </w:rPr>
        <w:t xml:space="preserve">Security instruments. </w:t>
      </w:r>
      <w:r>
        <w:rPr>
          <w:rFonts w:ascii="Times New Roman" w:hAnsi="Times New Roman"/>
          <w:b w:val="false"/>
          <w:i w:val="false"/>
          <w:color w:val="000000"/>
          <w:sz w:val="22"/>
        </w:rPr>
        <w:t>Any deed or instrument given exclusively to secure a loan or debt is not subject to the real estate transfer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109.2(11)</w:t>
      </w:r>
      <w:r>
        <w:rPr>
          <w:rFonts w:ascii="Times New Roman" w:hAnsi="Times New Roman"/>
          <w:b w:val="false"/>
          <w:i w:val="false"/>
          <w:color w:val="000000"/>
          <w:sz w:val="22"/>
        </w:rPr>
        <w:t> </w:t>
      </w:r>
      <w:r>
        <w:rPr>
          <w:rFonts w:ascii="Times New Roman" w:hAnsi="Times New Roman"/>
          <w:b w:val="false"/>
          <w:i/>
          <w:color w:val="000000"/>
          <w:sz w:val="22"/>
        </w:rPr>
        <w:t xml:space="preserve">Marriage dissolution exemption. </w:t>
      </w:r>
      <w:r>
        <w:rPr>
          <w:rFonts w:ascii="Times New Roman" w:hAnsi="Times New Roman"/>
          <w:b w:val="false"/>
          <w:i w:val="false"/>
          <w:color w:val="000000"/>
          <w:sz w:val="22"/>
        </w:rPr>
        <w:t xml:space="preserve">Marriage dissolution exemption from the real estate transfer tax provided in Iowa Code section </w:t>
      </w:r>
      <w:hyperlink r:id="rId13">
        <w:r>
          <w:rPr>
            <w:rStyle w:val="Hyperlink"/>
            <w:rFonts w:ascii="Times New Roman" w:hAnsi="Times New Roman"/>
            <w:b w:val="false"/>
            <w:i w:val="false"/>
            <w:color w:val="000000"/>
            <w:sz w:val="22"/>
          </w:rPr>
          <w:t>428A.2(16)</w:t>
        </w:r>
      </w:hyperlink>
      <w:r>
        <w:rPr>
          <w:rFonts w:ascii="Times New Roman" w:hAnsi="Times New Roman"/>
          <w:b w:val="false"/>
          <w:i w:val="false"/>
          <w:color w:val="000000"/>
          <w:sz w:val="22"/>
        </w:rPr>
        <w:t xml:space="preserve"> applies only to real property conveyances between former spouses specifically mandated by a dissolution decree.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109.2(12)</w:t>
      </w:r>
      <w:r>
        <w:rPr>
          <w:rFonts w:ascii="Times New Roman" w:hAnsi="Times New Roman"/>
          <w:b w:val="false"/>
          <w:i w:val="false"/>
          <w:color w:val="000000"/>
          <w:sz w:val="22"/>
        </w:rPr>
        <w:t> </w:t>
      </w:r>
      <w:r>
        <w:rPr>
          <w:rFonts w:ascii="Times New Roman" w:hAnsi="Times New Roman"/>
          <w:b w:val="false"/>
          <w:i/>
          <w:color w:val="000000"/>
          <w:sz w:val="22"/>
        </w:rPr>
        <w:t xml:space="preserve">Family debt cancellation exemption. </w:t>
      </w:r>
      <w:r>
        <w:rPr>
          <w:rFonts w:ascii="Times New Roman" w:hAnsi="Times New Roman"/>
          <w:b w:val="false"/>
          <w:i w:val="false"/>
          <w:color w:val="000000"/>
          <w:sz w:val="22"/>
        </w:rPr>
        <w:t xml:space="preserve">The family debt cancellation exemption from the real estate transfer tax provided in Iowa Code section </w:t>
      </w:r>
      <w:hyperlink r:id="rId14">
        <w:r>
          <w:rPr>
            <w:rStyle w:val="Hyperlink"/>
            <w:rFonts w:ascii="Times New Roman" w:hAnsi="Times New Roman"/>
            <w:b w:val="false"/>
            <w:i w:val="false"/>
            <w:color w:val="000000"/>
            <w:sz w:val="22"/>
          </w:rPr>
          <w:t>428A.2(11)</w:t>
        </w:r>
      </w:hyperlink>
      <w:r>
        <w:rPr>
          <w:rFonts w:ascii="Times New Roman" w:hAnsi="Times New Roman"/>
          <w:b w:val="false"/>
          <w:i w:val="false"/>
          <w:color w:val="000000"/>
          <w:sz w:val="22"/>
        </w:rPr>
        <w:t xml:space="preserve"> applies only to real estate conveyances between husband and wife, or parent and child and indebtedness between these parties.</w:t>
      </w:r>
    </w:p>
    <w:p>
      <w:pPr>
        <w:spacing w:before="0" w:after="0"/>
        <w:ind w:left="120"/>
        <w:jc w:val="both"/>
      </w:pPr>
      <w:r>
        <w:rPr>
          <w:rFonts w:ascii="Times New Roman" w:hAnsi="Times New Roman"/>
          <w:b w:val="false"/>
          <w:i w:val="false"/>
          <w:color w:val="000000"/>
          <w:sz w:val="22"/>
        </w:rPr>
        <w:t>The amount of indebtedness subject to exemption shall not exceed the fair market value of the property being transferred.</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son is indebted to his father for $10,000. The son transfers real property with a fair market value of $12,000 to his father as satisfaction of the indebtedness. No real estate transfer tax is due in this situation.</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son is indebted to his father for $10,000. The son transfers real property with a fair market value of $4,000 to his father as satisfaction of the indebtedness. Real estate transfer tax is due on $6,000 in this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109.2(13)</w:t>
      </w:r>
      <w:r>
        <w:rPr>
          <w:rFonts w:ascii="Times New Roman" w:hAnsi="Times New Roman"/>
          <w:b w:val="false"/>
          <w:i w:val="false"/>
          <w:color w:val="000000"/>
          <w:sz w:val="22"/>
        </w:rPr>
        <w:t> </w:t>
      </w:r>
      <w:r>
        <w:rPr>
          <w:rFonts w:ascii="Times New Roman" w:hAnsi="Times New Roman"/>
          <w:b w:val="false"/>
          <w:i/>
          <w:color w:val="000000"/>
          <w:sz w:val="22"/>
        </w:rPr>
        <w:t xml:space="preserve">Assumption of debt. </w:t>
      </w:r>
      <w:r>
        <w:rPr>
          <w:rFonts w:ascii="Times New Roman" w:hAnsi="Times New Roman"/>
          <w:b w:val="false"/>
          <w:i w:val="false"/>
          <w:color w:val="000000"/>
          <w:sz w:val="22"/>
        </w:rPr>
        <w:t>Any outstanding debt on the property conveyed that is not assumed by the grantee is not to be included as consideration in computing the amount of real estate transfer tax due.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Property with a mortgage of $40,000 is transferred from A to B. B pays A $60,000 but does not assume the $40,000 mortgage. The real estate transfer tax is to be computed on the $60,000 cash payment only. If B had assumed the mortgage in addition to making the cash payment, the real estate transfer tax would be computed on $100,000 (the sum of the payment and mortgage).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109.2(14)</w:t>
      </w:r>
      <w:r>
        <w:rPr>
          <w:rFonts w:ascii="Times New Roman" w:hAnsi="Times New Roman"/>
          <w:b w:val="false"/>
          <w:i w:val="false"/>
          <w:color w:val="000000"/>
          <w:sz w:val="22"/>
        </w:rPr>
        <w:t> </w:t>
      </w:r>
      <w:r>
        <w:rPr>
          <w:rFonts w:ascii="Times New Roman" w:hAnsi="Times New Roman"/>
          <w:b w:val="false"/>
          <w:i/>
          <w:color w:val="000000"/>
          <w:sz w:val="22"/>
        </w:rPr>
        <w:t xml:space="preserve">Mergers, consolidations, and reorganizations. </w:t>
      </w:r>
      <w:r>
        <w:rPr>
          <w:rFonts w:ascii="Times New Roman" w:hAnsi="Times New Roman"/>
          <w:b w:val="false"/>
          <w:i w:val="false"/>
          <w:color w:val="000000"/>
          <w:sz w:val="22"/>
        </w:rPr>
        <w:t>Conveyances of real estate resulting from corporate or limited liability company mergers, consolidations, or reorganizations are exempt from the real estate transfer tax. The following definitions are intended to be general guidelines in determining eligibility for exemption under this subsection.</w:t>
      </w:r>
    </w:p>
    <w:p>
      <w:pPr>
        <w:spacing w:before="0" w:after="0"/>
        <w:ind w:left="120"/>
        <w:jc w:val="both"/>
      </w:pPr>
      <w:r>
        <w:rPr>
          <w:rFonts w:ascii="Times New Roman" w:hAnsi="Times New Roman"/>
          <w:b w:val="false"/>
          <w:i/>
          <w:color w:val="000000"/>
          <w:sz w:val="22"/>
        </w:rPr>
        <w:t>“Merger”</w:t>
      </w:r>
      <w:r>
        <w:rPr>
          <w:rFonts w:ascii="Times New Roman" w:hAnsi="Times New Roman"/>
          <w:b w:val="false"/>
          <w:i w:val="false"/>
          <w:color w:val="000000"/>
          <w:sz w:val="22"/>
        </w:rPr>
        <w:t xml:space="preserve"> means the uniting of two or more corporations or companies into one corporation or company in such manner that the corporation or company resulting from the merger retains its existence and absorbs the other constituent corporation(s) or company(ies) which thereby lose its or their existence.</w:t>
      </w:r>
    </w:p>
    <w:p>
      <w:pPr>
        <w:spacing w:before="0" w:after="0"/>
        <w:ind w:left="120"/>
        <w:jc w:val="both"/>
      </w:pPr>
      <w:r>
        <w:rPr>
          <w:rFonts w:ascii="Times New Roman" w:hAnsi="Times New Roman"/>
          <w:b w:val="false"/>
          <w:i/>
          <w:color w:val="000000"/>
          <w:sz w:val="22"/>
        </w:rPr>
        <w:t>“Consolidation”</w:t>
      </w:r>
      <w:r>
        <w:rPr>
          <w:rFonts w:ascii="Times New Roman" w:hAnsi="Times New Roman"/>
          <w:b w:val="false"/>
          <w:i w:val="false"/>
          <w:color w:val="000000"/>
          <w:sz w:val="22"/>
        </w:rPr>
        <w:t xml:space="preserve"> means the uniting of two or more corporations or companies into a single new corporation or company, all of the constituent corporations or companies thereby ceasing to exist as separate entities.</w:t>
      </w:r>
    </w:p>
    <w:p>
      <w:pPr>
        <w:spacing w:before="0" w:after="0"/>
        <w:ind w:left="120"/>
        <w:jc w:val="both"/>
      </w:pPr>
      <w:r>
        <w:rPr>
          <w:rFonts w:ascii="Times New Roman" w:hAnsi="Times New Roman"/>
          <w:b w:val="false"/>
          <w:i/>
          <w:color w:val="000000"/>
          <w:sz w:val="22"/>
        </w:rPr>
        <w:t>“Reorganization”</w:t>
      </w:r>
      <w:r>
        <w:rPr>
          <w:rFonts w:ascii="Times New Roman" w:hAnsi="Times New Roman"/>
          <w:b w:val="false"/>
          <w:i w:val="false"/>
          <w:color w:val="000000"/>
          <w:sz w:val="22"/>
        </w:rPr>
        <w:t xml:space="preserve"> means the transfer of substantially all of the assets of one corporation or company to another corporation or company where the persons having an interest in the old corporation or company maintain substantially the same interest in the new corporation or company.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428A.1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1996 Iowa Acts, chapter 1167</w:t>
      </w:r>
      <w:r>
        <w:rPr>
          <w:rFonts w:ascii="Times New Roman" w:hAnsi="Times New Roman"/>
          <w:b w:val="false"/>
          <w:i w:val="false"/>
          <w:color w:val="000000"/>
          <w:sz w:val="22"/>
        </w:rPr>
        <w:t xml:space="preserve">, and section </w:t>
      </w:r>
      <w:hyperlink r:id="rId16">
        <w:r>
          <w:rPr>
            <w:rStyle w:val="Hyperlink"/>
            <w:rFonts w:ascii="Times New Roman" w:hAnsi="Times New Roman"/>
            <w:b w:val="false"/>
            <w:i w:val="false"/>
            <w:color w:val="000000"/>
            <w:sz w:val="22"/>
          </w:rPr>
          <w:t>428A.2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1996 Iowa Acts, chapter 1170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701—109.3</w:t>
      </w:r>
      <w:r>
        <w:rPr>
          <w:rFonts w:ascii="Times New Roman" w:hAnsi="Times New Roman"/>
          <w:b/>
          <w:i w:val="false"/>
          <w:color w:val="000000"/>
          <w:sz w:val="22"/>
        </w:rPr>
        <w:t xml:space="preserve">(428A) </w:t>
      </w:r>
      <w:r>
        <w:rPr>
          <w:rFonts w:ascii="Times New Roman" w:hAnsi="Times New Roman"/>
          <w:b/>
          <w:i w:val="false"/>
          <w:color w:val="000000"/>
          <w:sz w:val="22"/>
        </w:rPr>
        <w:t xml:space="preserve">Declarations of value: Responsibility of county recorders and city and county assessors.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109.3(1)</w:t>
      </w:r>
      <w:r>
        <w:rPr>
          <w:rFonts w:ascii="Times New Roman" w:hAnsi="Times New Roman"/>
          <w:b w:val="false"/>
          <w:i w:val="false"/>
          <w:color w:val="000000"/>
          <w:sz w:val="22"/>
        </w:rPr>
        <w:t> </w:t>
      </w:r>
      <w:r>
        <w:rPr>
          <w:rFonts w:ascii="Times New Roman" w:hAnsi="Times New Roman"/>
          <w:b w:val="false"/>
          <w:i/>
          <w:color w:val="000000"/>
          <w:sz w:val="22"/>
        </w:rPr>
        <w:t xml:space="preserve">Forms and procedures. </w:t>
      </w:r>
      <w:r>
        <w:rPr>
          <w:rFonts w:ascii="Times New Roman" w:hAnsi="Times New Roman"/>
          <w:b w:val="false"/>
          <w:i w:val="false"/>
          <w:color w:val="000000"/>
          <w:sz w:val="22"/>
        </w:rPr>
        <w:t>County recorders and county and city assessors shall use only the declaration of value forms and procedures prescribed and provided by the director of revenue for reporting real estate transfers.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109.3(2)</w:t>
      </w:r>
      <w:r>
        <w:rPr>
          <w:rFonts w:ascii="Times New Roman" w:hAnsi="Times New Roman"/>
          <w:b w:val="false"/>
          <w:i w:val="false"/>
          <w:color w:val="000000"/>
          <w:sz w:val="22"/>
        </w:rPr>
        <w:t> </w:t>
      </w:r>
      <w:r>
        <w:rPr>
          <w:rFonts w:ascii="Times New Roman" w:hAnsi="Times New Roman"/>
          <w:b w:val="false"/>
          <w:i/>
          <w:color w:val="000000"/>
          <w:sz w:val="22"/>
        </w:rPr>
        <w:t xml:space="preserve">Report of sales. </w:t>
      </w:r>
      <w:r>
        <w:rPr>
          <w:rFonts w:ascii="Times New Roman" w:hAnsi="Times New Roman"/>
          <w:b w:val="false"/>
          <w:i w:val="false"/>
          <w:color w:val="000000"/>
          <w:sz w:val="22"/>
        </w:rPr>
        <w:t xml:space="preserve">County recorders and city and county assessors shall complete the appropriate portions of the real estate transfer-declaration of value form for each real estate transfer for which a declaration of value has been completed by the buyer, seller, or agent. The completed real estate transfer-declaration of value forms shall be used in preparing the quarterly sales report to be submitted to the department as required by Iowa Code section </w:t>
      </w:r>
      <w:hyperlink r:id="rId17">
        <w:r>
          <w:rPr>
            <w:rStyle w:val="Hyperlink"/>
            <w:rFonts w:ascii="Times New Roman" w:hAnsi="Times New Roman"/>
            <w:b w:val="false"/>
            <w:i w:val="false"/>
            <w:color w:val="000000"/>
            <w:sz w:val="22"/>
          </w:rPr>
          <w:t>421.17(6)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109.3(3)</w:t>
      </w:r>
      <w:r>
        <w:rPr>
          <w:rFonts w:ascii="Times New Roman" w:hAnsi="Times New Roman"/>
          <w:b w:val="false"/>
          <w:i w:val="false"/>
          <w:color w:val="000000"/>
          <w:sz w:val="22"/>
        </w:rPr>
        <w:t> </w:t>
      </w:r>
      <w:r>
        <w:rPr>
          <w:rFonts w:ascii="Times New Roman" w:hAnsi="Times New Roman"/>
          <w:b w:val="false"/>
          <w:i/>
          <w:color w:val="000000"/>
          <w:sz w:val="22"/>
        </w:rPr>
        <w:t xml:space="preserve">Transmittal of forms. </w:t>
      </w:r>
      <w:r>
        <w:rPr>
          <w:rFonts w:ascii="Times New Roman" w:hAnsi="Times New Roman"/>
          <w:b w:val="false"/>
          <w:i w:val="false"/>
          <w:color w:val="000000"/>
          <w:sz w:val="22"/>
        </w:rPr>
        <w:t xml:space="preserve">Real estate transfer-declaration of value forms filed with the county recorder shall be transmitted promptly to the department. Nothing in this subrule shall be construed to relieve, limit, or prohibit city and county assessors from completing the requirements set forth in Iowa Code sections </w:t>
      </w:r>
      <w:hyperlink r:id="rId18">
        <w:r>
          <w:rPr>
            <w:rStyle w:val="Hyperlink"/>
            <w:rFonts w:ascii="Times New Roman" w:hAnsi="Times New Roman"/>
            <w:b w:val="false"/>
            <w:i w:val="false"/>
            <w:color w:val="000000"/>
            <w:sz w:val="22"/>
          </w:rPr>
          <w:t>421.17(6)</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421.17(6)</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109.3(4)</w:t>
      </w:r>
      <w:r>
        <w:rPr>
          <w:rFonts w:ascii="Times New Roman" w:hAnsi="Times New Roman"/>
          <w:b w:val="false"/>
          <w:i w:val="false"/>
          <w:color w:val="000000"/>
          <w:sz w:val="22"/>
        </w:rPr>
        <w:t> </w:t>
      </w:r>
      <w:r>
        <w:rPr>
          <w:rFonts w:ascii="Times New Roman" w:hAnsi="Times New Roman"/>
          <w:b w:val="false"/>
          <w:i/>
          <w:color w:val="000000"/>
          <w:sz w:val="22"/>
        </w:rPr>
        <w:t xml:space="preserve">Completion of forms. </w:t>
      </w:r>
      <w:r>
        <w:rPr>
          <w:rFonts w:ascii="Times New Roman" w:hAnsi="Times New Roman"/>
          <w:b w:val="false"/>
          <w:i w:val="false"/>
          <w:color w:val="000000"/>
          <w:sz w:val="22"/>
        </w:rPr>
        <w:t>County recorders and city and county assessors shall complete declaration of value forms in accordance with instructions issued by the department. The assessed values entered on the forms are to be the final values as of January 1 of the year in which the transfer occurred.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428A.1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i w:val="false"/>
          <w:color w:val="000000"/>
          <w:sz w:val="16"/>
        </w:rPr>
        <w:t>ARC 5289C</w:t>
      </w:r>
      <w:r>
        <w:rPr>
          <w:rFonts w:ascii="Times New Roman" w:hAnsi="Times New Roman"/>
          <w:b w:val="false"/>
          <w:i w:val="false"/>
          <w:color w:val="000000"/>
          <w:sz w:val="16"/>
        </w:rPr>
        <w:t>, IAB 11/18/20, effective 12/23/20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701—109.4</w:t>
      </w:r>
      <w:r>
        <w:rPr>
          <w:rFonts w:ascii="Times New Roman" w:hAnsi="Times New Roman"/>
          <w:b/>
          <w:i w:val="false"/>
          <w:color w:val="000000"/>
          <w:sz w:val="22"/>
        </w:rPr>
        <w:t xml:space="preserve">(428A) </w:t>
      </w:r>
      <w:r>
        <w:rPr>
          <w:rFonts w:ascii="Times New Roman" w:hAnsi="Times New Roman"/>
          <w:b/>
          <w:i w:val="false"/>
          <w:color w:val="000000"/>
          <w:sz w:val="22"/>
        </w:rPr>
        <w:t xml:space="preserve">Certain transfers of agricultural realty.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109.4(1)</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whether agricultural realty is purchased by a corporation, limited partnership, trust, alien, or nonresident alien for purposes of providing information required for such transfers by Iowa Code section </w:t>
      </w:r>
      <w:hyperlink r:id="rId21">
        <w:r>
          <w:rPr>
            <w:rStyle w:val="Hyperlink"/>
            <w:rFonts w:ascii="Times New Roman" w:hAnsi="Times New Roman"/>
            <w:b w:val="false"/>
            <w:i w:val="false"/>
            <w:color w:val="000000"/>
            <w:sz w:val="22"/>
          </w:rPr>
          <w:t>428A.1</w:t>
        </w:r>
      </w:hyperlink>
      <w:r>
        <w:rPr>
          <w:rFonts w:ascii="Times New Roman" w:hAnsi="Times New Roman"/>
          <w:b w:val="false"/>
          <w:i w:val="false"/>
          <w:color w:val="000000"/>
          <w:sz w:val="22"/>
        </w:rPr>
        <w:t>, the definitions in this rule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109.4(2)</w:t>
      </w:r>
      <w:r>
        <w:rPr>
          <w:rFonts w:ascii="Times New Roman" w:hAnsi="Times New Roman"/>
          <w:b w:val="false"/>
          <w:i w:val="false"/>
          <w:color w:val="000000"/>
          <w:sz w:val="22"/>
        </w:rPr>
        <w:t> </w:t>
      </w:r>
      <w:r>
        <w:rPr>
          <w:rFonts w:ascii="Times New Roman" w:hAnsi="Times New Roman"/>
          <w:b w:val="false"/>
          <w:i w:val="false"/>
          <w:color w:val="000000"/>
          <w:sz w:val="22"/>
        </w:rPr>
        <w:t>Corporation defined. “Corporation” means a domestic or foreign corporation and includes a nonprofit corporation and cooperatives.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109.4(3)</w:t>
      </w:r>
      <w:r>
        <w:rPr>
          <w:rFonts w:ascii="Times New Roman" w:hAnsi="Times New Roman"/>
          <w:b w:val="false"/>
          <w:i w:val="false"/>
          <w:color w:val="000000"/>
          <w:sz w:val="22"/>
        </w:rPr>
        <w:t> </w:t>
      </w:r>
      <w:r>
        <w:rPr>
          <w:rFonts w:ascii="Times New Roman" w:hAnsi="Times New Roman"/>
          <w:b w:val="false"/>
          <w:i w:val="false"/>
          <w:color w:val="000000"/>
          <w:sz w:val="22"/>
        </w:rPr>
        <w:t xml:space="preserve">Limited partnership defined. “Limited partnership” means a partnership as defined in Iowa Code section </w:t>
      </w:r>
      <w:hyperlink r:id="rId22">
        <w:r>
          <w:rPr>
            <w:rStyle w:val="Hyperlink"/>
            <w:rFonts w:ascii="Times New Roman" w:hAnsi="Times New Roman"/>
            <w:b w:val="false"/>
            <w:i w:val="false"/>
            <w:color w:val="000000"/>
            <w:sz w:val="22"/>
          </w:rPr>
          <w:t>488.102(13)</w:t>
        </w:r>
      </w:hyperlink>
      <w:r>
        <w:rPr>
          <w:rFonts w:ascii="Times New Roman" w:hAnsi="Times New Roman"/>
          <w:b w:val="false"/>
          <w:i w:val="false"/>
          <w:color w:val="000000"/>
          <w:sz w:val="22"/>
        </w:rPr>
        <w:t xml:space="preserve"> and which owns or leases agricultural land or is engaged in farming.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109.4(4)</w:t>
      </w:r>
      <w:r>
        <w:rPr>
          <w:rFonts w:ascii="Times New Roman" w:hAnsi="Times New Roman"/>
          <w:b w:val="false"/>
          <w:i w:val="false"/>
          <w:color w:val="000000"/>
          <w:sz w:val="22"/>
        </w:rPr>
        <w:t> </w:t>
      </w:r>
      <w:r>
        <w:rPr>
          <w:rFonts w:ascii="Times New Roman" w:hAnsi="Times New Roman"/>
          <w:b w:val="false"/>
          <w:i w:val="false"/>
          <w:color w:val="000000"/>
          <w:sz w:val="22"/>
        </w:rPr>
        <w:t>Trust defined. “Trust” means a fiduciary relationship with respect to property, subjecting the person by whom the property is held to equitable duties to deal with the property for the benefit of another person, which arises as a result of a manifestation of an intention to create it. A trust includes a legal entity holding property as a trustee, agent, escrow agent, attorney-in-fact, and in any similar capacity.</w:t>
      </w:r>
    </w:p>
    <w:p>
      <w:pPr>
        <w:spacing w:before="0" w:after="0"/>
        <w:ind w:left="120"/>
        <w:jc w:val="both"/>
      </w:pPr>
      <w:r>
        <w:rPr>
          <w:rFonts w:ascii="Times New Roman" w:hAnsi="Times New Roman"/>
          <w:b w:val="false"/>
          <w:i w:val="false"/>
          <w:color w:val="000000"/>
          <w:sz w:val="22"/>
        </w:rPr>
        <w:t>Trust does not include a person acting in a fiduciary capacity as an executor, administrator, personal representative, guardian, conservator or receiver.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109.4(5)</w:t>
      </w:r>
      <w:r>
        <w:rPr>
          <w:rFonts w:ascii="Times New Roman" w:hAnsi="Times New Roman"/>
          <w:b w:val="false"/>
          <w:i w:val="false"/>
          <w:color w:val="000000"/>
          <w:sz w:val="22"/>
        </w:rPr>
        <w:t> </w:t>
      </w:r>
      <w:r>
        <w:rPr>
          <w:rFonts w:ascii="Times New Roman" w:hAnsi="Times New Roman"/>
          <w:b w:val="false"/>
          <w:i w:val="false"/>
          <w:color w:val="000000"/>
          <w:sz w:val="22"/>
        </w:rPr>
        <w:t>Alien defined. “Alien” means a person born out of the United States and unnaturalized under the Constitution and laws of the United States. (</w:t>
      </w:r>
      <w:r>
        <w:rPr>
          <w:rFonts w:ascii="Times New Roman" w:hAnsi="Times New Roman"/>
          <w:b w:val="false"/>
          <w:i/>
          <w:color w:val="000000"/>
          <w:sz w:val="22"/>
        </w:rPr>
        <w:t>Breuer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Beery,</w:t>
      </w:r>
      <w:r>
        <w:rPr>
          <w:rFonts w:ascii="Times New Roman" w:hAnsi="Times New Roman"/>
          <w:b w:val="false"/>
          <w:i w:val="false"/>
          <w:color w:val="000000"/>
          <w:sz w:val="22"/>
        </w:rPr>
        <w:t xml:space="preserve"> 189 N.W. 714, 194 Iowa 243, 244 (1922).)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109.4(6)</w:t>
      </w:r>
      <w:r>
        <w:rPr>
          <w:rFonts w:ascii="Times New Roman" w:hAnsi="Times New Roman"/>
          <w:b w:val="false"/>
          <w:i w:val="false"/>
          <w:color w:val="000000"/>
          <w:sz w:val="22"/>
        </w:rPr>
        <w:t> </w:t>
      </w:r>
      <w:r>
        <w:rPr>
          <w:rFonts w:ascii="Times New Roman" w:hAnsi="Times New Roman"/>
          <w:b w:val="false"/>
          <w:i w:val="false"/>
          <w:color w:val="000000"/>
          <w:sz w:val="22"/>
        </w:rPr>
        <w:t xml:space="preserve">Nonresident alien defined. “Nonresident alien” means an alien as defined in subrule </w:t>
      </w:r>
      <w:hyperlink r:id="rId23">
        <w:r>
          <w:rPr>
            <w:rStyle w:val="Hyperlink"/>
            <w:rFonts w:ascii="Times New Roman" w:hAnsi="Times New Roman"/>
            <w:b w:val="false"/>
            <w:i w:val="false"/>
            <w:color w:val="000000"/>
            <w:sz w:val="22"/>
          </w:rPr>
          <w:t>109.4(5)</w:t>
        </w:r>
      </w:hyperlink>
      <w:r>
        <w:rPr>
          <w:rFonts w:ascii="Times New Roman" w:hAnsi="Times New Roman"/>
          <w:b w:val="false"/>
          <w:i w:val="false"/>
          <w:color w:val="000000"/>
          <w:sz w:val="22"/>
        </w:rPr>
        <w:t xml:space="preserve"> who is not a resident of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428A.1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701—109.5</w:t>
      </w:r>
      <w:r>
        <w:rPr>
          <w:rFonts w:ascii="Times New Roman" w:hAnsi="Times New Roman"/>
          <w:b/>
          <w:i w:val="false"/>
          <w:color w:val="000000"/>
          <w:sz w:val="22"/>
        </w:rPr>
        <w:t xml:space="preserve">(428A) </w:t>
      </w:r>
      <w:r>
        <w:rPr>
          <w:rFonts w:ascii="Times New Roman" w:hAnsi="Times New Roman"/>
          <w:b/>
          <w:i w:val="false"/>
          <w:color w:val="000000"/>
          <w:sz w:val="22"/>
        </w:rPr>
        <w:t xml:space="preserve">Form completion and filing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109.5(1)</w:t>
      </w:r>
      <w:r>
        <w:rPr>
          <w:rFonts w:ascii="Times New Roman" w:hAnsi="Times New Roman"/>
          <w:b w:val="false"/>
          <w:i w:val="false"/>
          <w:color w:val="000000"/>
          <w:sz w:val="22"/>
        </w:rPr>
        <w:t> </w:t>
      </w:r>
      <w:r>
        <w:rPr>
          <w:rFonts w:ascii="Times New Roman" w:hAnsi="Times New Roman"/>
          <w:b w:val="false"/>
          <w:i/>
          <w:color w:val="000000"/>
          <w:sz w:val="22"/>
        </w:rPr>
        <w:t xml:space="preserve">Real estate transfer—declaration of value form. </w:t>
      </w:r>
      <w:r>
        <w:rPr>
          <w:rFonts w:ascii="Times New Roman" w:hAnsi="Times New Roman"/>
          <w:b w:val="false"/>
          <w:i w:val="false"/>
          <w:color w:val="000000"/>
          <w:sz w:val="22"/>
        </w:rPr>
        <w:t xml:space="preserve">A real estate transfer—declaration of value form must be completed for any deed, contract, instrument or writing that grants, assigns, transfers or otherwise conveys real property, except those specifically exempted by law, if the document presented for recording clearly states on its face that it is a document exempt from the reporting requirements as enumerated in Iowa Code section </w:t>
      </w:r>
      <w:hyperlink r:id="rId25">
        <w:r>
          <w:rPr>
            <w:rStyle w:val="Hyperlink"/>
            <w:rFonts w:ascii="Times New Roman" w:hAnsi="Times New Roman"/>
            <w:b w:val="false"/>
            <w:i w:val="false"/>
            <w:color w:val="000000"/>
            <w:sz w:val="22"/>
          </w:rPr>
          <w:t>428A.2, subsections 2 through 5, 7 through 13, and 16 through 21, or subsection 6</w:t>
        </w:r>
      </w:hyperlink>
      <w:r>
        <w:rPr>
          <w:rFonts w:ascii="Times New Roman" w:hAnsi="Times New Roman"/>
          <w:b w:val="false"/>
          <w:i w:val="false"/>
          <w:color w:val="000000"/>
          <w:sz w:val="22"/>
        </w:rPr>
        <w:t>, except in the case of a federal agency or instrumentality, or if a transfer is the result of acquisition of property for public purposes through eminent domain, or is a deed given in fulfillment of a previously recorded real estate contract. A real estate transfer—declaration of value form is not required for any transaction that does not grant, assign, transfer or convey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109.5(2)</w:t>
      </w:r>
      <w:r>
        <w:rPr>
          <w:rFonts w:ascii="Times New Roman" w:hAnsi="Times New Roman"/>
          <w:b w:val="false"/>
          <w:i w:val="false"/>
          <w:color w:val="000000"/>
          <w:sz w:val="22"/>
        </w:rPr>
        <w:t> </w:t>
      </w:r>
      <w:r>
        <w:rPr>
          <w:rFonts w:ascii="Times New Roman" w:hAnsi="Times New Roman"/>
          <w:b w:val="false"/>
          <w:i/>
          <w:color w:val="000000"/>
          <w:sz w:val="22"/>
        </w:rPr>
        <w:t xml:space="preserve">Real estate transfer—declaration of value: Real estate transfer tax. </w:t>
      </w:r>
      <w:r>
        <w:rPr>
          <w:rFonts w:ascii="Times New Roman" w:hAnsi="Times New Roman"/>
          <w:b w:val="false"/>
          <w:i w:val="false"/>
          <w:color w:val="000000"/>
          <w:sz w:val="22"/>
        </w:rPr>
        <w:t xml:space="preserve">Requirements for completing real estate transfer-declaration of value forms or exceptions from filing the forms shall not be construed to alter the liability for the real estate transfer tax or the amount of such tax as provided in Iowa Code chapter </w:t>
      </w:r>
      <w:hyperlink r:id="rId26">
        <w:r>
          <w:rPr>
            <w:rStyle w:val="Hyperlink"/>
            <w:rFonts w:ascii="Times New Roman" w:hAnsi="Times New Roman"/>
            <w:b w:val="false"/>
            <w:i w:val="false"/>
            <w:color w:val="000000"/>
            <w:sz w:val="22"/>
          </w:rPr>
          <w:t>428A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109.5(3)</w:t>
      </w:r>
      <w:r>
        <w:rPr>
          <w:rFonts w:ascii="Times New Roman" w:hAnsi="Times New Roman"/>
          <w:b w:val="false"/>
          <w:i w:val="false"/>
          <w:color w:val="000000"/>
          <w:sz w:val="22"/>
        </w:rPr>
        <w:t> </w:t>
      </w:r>
      <w:r>
        <w:rPr>
          <w:rFonts w:ascii="Times New Roman" w:hAnsi="Times New Roman"/>
          <w:b w:val="false"/>
          <w:i/>
          <w:color w:val="000000"/>
          <w:sz w:val="22"/>
        </w:rPr>
        <w:t xml:space="preserve">Agent defined. </w:t>
      </w:r>
      <w:r>
        <w:rPr>
          <w:rFonts w:ascii="Times New Roman" w:hAnsi="Times New Roman"/>
          <w:b w:val="false"/>
          <w:i w:val="false"/>
          <w:color w:val="000000"/>
          <w:sz w:val="22"/>
        </w:rPr>
        <w:t xml:space="preserve">As used in Iowa Code section </w:t>
      </w:r>
      <w:hyperlink r:id="rId27">
        <w:r>
          <w:rPr>
            <w:rStyle w:val="Hyperlink"/>
            <w:rFonts w:ascii="Times New Roman" w:hAnsi="Times New Roman"/>
            <w:b w:val="false"/>
            <w:i w:val="false"/>
            <w:color w:val="000000"/>
            <w:sz w:val="22"/>
          </w:rPr>
          <w:t>428A.1</w:t>
        </w:r>
      </w:hyperlink>
      <w:r>
        <w:rPr>
          <w:rFonts w:ascii="Times New Roman" w:hAnsi="Times New Roman"/>
          <w:b w:val="false"/>
          <w:i w:val="false"/>
          <w:color w:val="000000"/>
          <w:sz w:val="22"/>
        </w:rPr>
        <w:t>, an agent is defined as any person designated or approved by the buyer or seller to act on behalf of the buyer or seller in the real estate transfer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109.5(4)</w:t>
      </w:r>
      <w:r>
        <w:rPr>
          <w:rFonts w:ascii="Times New Roman" w:hAnsi="Times New Roman"/>
          <w:b w:val="false"/>
          <w:i w:val="false"/>
          <w:color w:val="000000"/>
          <w:sz w:val="22"/>
        </w:rPr>
        <w:t> </w:t>
      </w:r>
      <w:r>
        <w:rPr>
          <w:rFonts w:ascii="Times New Roman" w:hAnsi="Times New Roman"/>
          <w:b w:val="false"/>
          <w:i/>
          <w:color w:val="000000"/>
          <w:sz w:val="22"/>
        </w:rPr>
        <w:t xml:space="preserve">Government agency filing requirements. </w:t>
      </w:r>
      <w:r>
        <w:rPr>
          <w:rFonts w:ascii="Times New Roman" w:hAnsi="Times New Roman"/>
          <w:b w:val="false"/>
          <w:i w:val="false"/>
          <w:color w:val="000000"/>
          <w:sz w:val="22"/>
        </w:rPr>
        <w:t>The real estate transfer-declaration of value form does not have to be completed for any real estate transfer document in which the state of Iowa or any agency, instrumentality or political subdivision thereof is the grantor, assignor, transferor or conveyor or for any transfer in which the state of Iowa or any agency, instrumentality or political subdivision thereof is the grantee or assignee where there is no consideration. However, any transfer in which any unit of government is the grantee or assignee where there is consideration is subject to the real estate transfer-declaration of value filing requirements (1980 O.A.G. 92) and any transfer to which the United States or any agency or instrumentality thereof is a party to the transfer is subject to the real estate transfer-declaration of value filing requirements. An exception to this subrule is conveyances for public purposes occurring through the exercise of the power of eminent domain.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109.5(5)</w:t>
      </w:r>
      <w:r>
        <w:rPr>
          <w:rFonts w:ascii="Times New Roman" w:hAnsi="Times New Roman"/>
          <w:b w:val="false"/>
          <w:i w:val="false"/>
          <w:color w:val="000000"/>
          <w:sz w:val="22"/>
        </w:rPr>
        <w:t> </w:t>
      </w:r>
      <w:r>
        <w:rPr>
          <w:rFonts w:ascii="Times New Roman" w:hAnsi="Times New Roman"/>
          <w:b w:val="false"/>
          <w:i/>
          <w:color w:val="000000"/>
          <w:sz w:val="22"/>
        </w:rPr>
        <w:t xml:space="preserve">Recording refused. </w:t>
      </w:r>
      <w:r>
        <w:rPr>
          <w:rFonts w:ascii="Times New Roman" w:hAnsi="Times New Roman"/>
          <w:b w:val="false"/>
          <w:i w:val="false"/>
          <w:color w:val="000000"/>
          <w:sz w:val="22"/>
        </w:rPr>
        <w:t>The county recorder shall refuse to record any document for which a real estate transfer-declaration of value is required if the form is not completed accurately and completely by the buyer or seller or the agent of either. The declaration of value shall include the social security number or federal identification number of the buyer and seller and all other information required by the director of revenue (</w:t>
      </w:r>
      <w:r>
        <w:rPr>
          <w:rFonts w:ascii="Times New Roman" w:hAnsi="Times New Roman"/>
          <w:b w:val="false"/>
          <w:i/>
          <w:color w:val="000000"/>
          <w:sz w:val="22"/>
        </w:rPr>
        <w:t>Iowa Association of Realtors et al.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Department of Revenue,</w:t>
      </w:r>
      <w:r>
        <w:rPr>
          <w:rFonts w:ascii="Times New Roman" w:hAnsi="Times New Roman"/>
          <w:b w:val="false"/>
          <w:i w:val="false"/>
          <w:color w:val="000000"/>
          <w:sz w:val="22"/>
        </w:rPr>
        <w:t xml:space="preserve"> CE 18-10479, Polk County District Court, February 4, 1983). However, if having made good-faith effort, the person or person’s agent completing the declaration of value is unable to obtain the social security or federal identification number of the other party to the transaction due to factors beyond the control of the person or person’s agent, a signed affidavit stating that the effort was made and the reasons why the number could not be obtained shall be submitted with the incomplete declaration of value. The declaration of value with attached affidavit shall be considered sufficient compliance with Iowa Code section </w:t>
      </w:r>
      <w:hyperlink r:id="rId28">
        <w:r>
          <w:rPr>
            <w:rStyle w:val="Hyperlink"/>
            <w:rFonts w:ascii="Times New Roman" w:hAnsi="Times New Roman"/>
            <w:b w:val="false"/>
            <w:i w:val="false"/>
            <w:color w:val="000000"/>
            <w:sz w:val="22"/>
          </w:rPr>
          <w:t>428A.1</w:t>
        </w:r>
      </w:hyperlink>
      <w:r>
        <w:rPr>
          <w:rFonts w:ascii="Times New Roman" w:hAnsi="Times New Roman"/>
          <w:b w:val="false"/>
          <w:i w:val="false"/>
          <w:color w:val="000000"/>
          <w:sz w:val="22"/>
        </w:rPr>
        <w:t xml:space="preserve"> and the affidavit shall be considered a part of the declaration of value subject to the provisions of Iowa Code section </w:t>
      </w:r>
      <w:hyperlink r:id="rId29">
        <w:r>
          <w:rPr>
            <w:rStyle w:val="Hyperlink"/>
            <w:rFonts w:ascii="Times New Roman" w:hAnsi="Times New Roman"/>
            <w:b w:val="false"/>
            <w:i w:val="false"/>
            <w:color w:val="000000"/>
            <w:sz w:val="22"/>
          </w:rPr>
          <w:t>428A.15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109.5(6)</w:t>
      </w:r>
      <w:r>
        <w:rPr>
          <w:rFonts w:ascii="Times New Roman" w:hAnsi="Times New Roman"/>
          <w:b w:val="false"/>
          <w:i w:val="false"/>
          <w:color w:val="000000"/>
          <w:sz w:val="22"/>
        </w:rPr>
        <w:t> </w:t>
      </w:r>
      <w:r>
        <w:rPr>
          <w:rFonts w:ascii="Times New Roman" w:hAnsi="Times New Roman"/>
          <w:b w:val="false"/>
          <w:i/>
          <w:color w:val="000000"/>
          <w:sz w:val="22"/>
        </w:rPr>
        <w:t xml:space="preserve">Multiple parcels. </w:t>
      </w:r>
      <w:r>
        <w:rPr>
          <w:rFonts w:ascii="Times New Roman" w:hAnsi="Times New Roman"/>
          <w:b w:val="false"/>
          <w:i w:val="false"/>
          <w:color w:val="000000"/>
          <w:sz w:val="22"/>
        </w:rPr>
        <w:t>Separate declarations of value are to be submitted to each county recorder if the real estate conveyed consists of parcels located in more than one county. The consideration paid for each property must be separately stated on the declaration of value or the recorder shall refuse to record the instrument of conveyance.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428A.1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428A.2</w:t>
        </w:r>
      </w:hyperlink>
      <w:r>
        <w:rPr>
          <w:rFonts w:ascii="Times New Roman" w:hAnsi="Times New Roman"/>
          <w:b w:val="false"/>
          <w:i w:val="false"/>
          <w:color w:val="000000"/>
          <w:sz w:val="22"/>
        </w:rPr>
        <w:t xml:space="preserve">, and section </w:t>
      </w:r>
      <w:hyperlink r:id="rId32">
        <w:r>
          <w:rPr>
            <w:rStyle w:val="Hyperlink"/>
            <w:rFonts w:ascii="Times New Roman" w:hAnsi="Times New Roman"/>
            <w:b w:val="false"/>
            <w:i w:val="false"/>
            <w:color w:val="000000"/>
            <w:sz w:val="22"/>
          </w:rPr>
          <w:t>428A.4</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288, section 16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8358B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701—109.6</w:t>
      </w:r>
      <w:r>
        <w:rPr>
          <w:rFonts w:ascii="Times New Roman" w:hAnsi="Times New Roman"/>
          <w:b/>
          <w:i w:val="false"/>
          <w:color w:val="000000"/>
          <w:sz w:val="22"/>
        </w:rPr>
        <w:t xml:space="preserve">(428A) </w:t>
      </w:r>
      <w:r>
        <w:rPr>
          <w:rFonts w:ascii="Times New Roman" w:hAnsi="Times New Roman"/>
          <w:b/>
          <w:i w:val="false"/>
          <w:color w:val="000000"/>
          <w:sz w:val="22"/>
        </w:rPr>
        <w:t xml:space="preserve">Public access to declarations of value. </w:t>
      </w:r>
      <w:r>
        <w:rPr>
          <w:rFonts w:ascii="Times New Roman" w:hAnsi="Times New Roman"/>
          <w:b w:val="false"/>
          <w:i w:val="false"/>
          <w:color w:val="000000"/>
          <w:sz w:val="22"/>
        </w:rPr>
        <w:t xml:space="preserve">Declarations of value are public records and must be made available for public inspection in accordance with Iowa Code chapter </w:t>
      </w:r>
      <w:hyperlink r:id="rId3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However, if the declaration of value contains the social security number or federal tax identification number of the buyer or seller, the social security number or the federal tax identification number must be redacted by the government official in possession of the declaration of value form prior to its being released to the public.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428A.7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House File 477</w:t>
      </w:r>
      <w:r>
        <w:rPr>
          <w:rFonts w:ascii="Times New Roman" w:hAnsi="Times New Roman"/>
          <w:b w:val="false"/>
          <w:i w:val="false"/>
          <w:color w:val="000000"/>
          <w:sz w:val="22"/>
        </w:rPr>
        <w:t>, section 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i w:val="false"/>
          <w:color w:val="000000"/>
          <w:sz w:val="16"/>
        </w:rPr>
        <w:t>ARC 8358B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8/17/79, Notice 7/11/79—published 9/5/79, effective 10/10/79</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12/15/80, Notice 10/29/80—published 12/24/80, effective 1/28/81]</w:t>
      </w:r>
    </w:p>
    <w:p>
      <w:pPr>
        <w:spacing w:before="0" w:after="0"/>
        <w:ind w:left="120"/>
        <w:jc w:val="center"/>
      </w:pPr>
      <w:r>
        <w:rPr>
          <w:rFonts w:ascii="Times New Roman" w:hAnsi="Times New Roman"/>
          <w:b w:val="false"/>
          <w:i w:val="false"/>
          <w:color w:val="000000"/>
          <w:sz w:val="21"/>
        </w:rPr>
        <w:t>[Filed 7/2/82, Notice 5/26/82—published 7/21/82, effective 8/25/82]</w:t>
      </w:r>
    </w:p>
    <w:p>
      <w:pPr>
        <w:spacing w:before="0" w:after="0"/>
        <w:ind w:left="120"/>
        <w:jc w:val="center"/>
      </w:pPr>
      <w:r>
        <w:rPr>
          <w:rFonts w:ascii="Times New Roman" w:hAnsi="Times New Roman"/>
          <w:b w:val="false"/>
          <w:i w:val="false"/>
          <w:color w:val="000000"/>
          <w:sz w:val="21"/>
        </w:rPr>
        <w:t>[Filed 9/10/82, Notice 8/4/82—published 9/29/82, effective 11/3/82]</w:t>
      </w:r>
    </w:p>
    <w:p>
      <w:pPr>
        <w:spacing w:before="0" w:after="0"/>
        <w:ind w:left="120"/>
        <w:jc w:val="center"/>
      </w:pPr>
      <w:r>
        <w:rPr>
          <w:rFonts w:ascii="Times New Roman" w:hAnsi="Times New Roman"/>
          <w:b w:val="false"/>
          <w:i w:val="false"/>
          <w:color w:val="000000"/>
          <w:sz w:val="21"/>
        </w:rPr>
        <w:t>[Filed 8/25/83, Notice 7/20/83—published 9/14/83, effective 10/19/83]</w:t>
      </w:r>
    </w:p>
    <w:p>
      <w:pPr>
        <w:spacing w:before="0" w:after="0"/>
        <w:ind w:left="120"/>
        <w:jc w:val="center"/>
      </w:pPr>
      <w:r>
        <w:rPr>
          <w:rFonts w:ascii="Times New Roman" w:hAnsi="Times New Roman"/>
          <w:b w:val="false"/>
          <w:i w:val="false"/>
          <w:color w:val="000000"/>
          <w:sz w:val="21"/>
        </w:rPr>
        <w:t>[Filed 5/31/85, Notice 4/24/85—published 6/19/85, effective 7/24/85]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9/18/87, Notice 8/12/87—published 10/7/87, effective 11/11/87]</w:t>
      </w:r>
    </w:p>
    <w:p>
      <w:pPr>
        <w:spacing w:before="0" w:after="0"/>
        <w:ind w:left="120"/>
        <w:jc w:val="center"/>
      </w:pPr>
      <w:r>
        <w:rPr>
          <w:rFonts w:ascii="Times New Roman" w:hAnsi="Times New Roman"/>
          <w:b w:val="false"/>
          <w:i w:val="false"/>
          <w:color w:val="000000"/>
          <w:sz w:val="21"/>
        </w:rPr>
        <w:t>[Filed 10/27/89, Notice 9/20/89—published 11/15/89, effective 12/20/89]</w:t>
      </w:r>
    </w:p>
    <w:p>
      <w:pPr>
        <w:spacing w:before="0" w:after="0"/>
        <w:ind w:left="120"/>
        <w:jc w:val="center"/>
      </w:pPr>
      <w:r>
        <w:rPr>
          <w:rFonts w:ascii="Times New Roman" w:hAnsi="Times New Roman"/>
          <w:b w:val="false"/>
          <w:i w:val="false"/>
          <w:color w:val="000000"/>
          <w:sz w:val="21"/>
        </w:rPr>
        <w:t>[Filed 3/13/92, Notice 2/5/92—published 4/1/92, effective 5/6/92]</w:t>
      </w:r>
    </w:p>
    <w:p>
      <w:pPr>
        <w:spacing w:before="0" w:after="0"/>
        <w:ind w:left="120"/>
        <w:jc w:val="center"/>
      </w:pPr>
      <w:r>
        <w:rPr>
          <w:rFonts w:ascii="Times New Roman" w:hAnsi="Times New Roman"/>
          <w:b w:val="false"/>
          <w:i w:val="false"/>
          <w:color w:val="000000"/>
          <w:sz w:val="21"/>
        </w:rPr>
        <w:t>[Filed 9/23/92, Notice 8/19/92—published 10/14/92, effective 11/18/92]</w:t>
      </w:r>
    </w:p>
    <w:p>
      <w:pPr>
        <w:spacing w:before="0" w:after="0"/>
        <w:ind w:left="120"/>
        <w:jc w:val="center"/>
      </w:pPr>
      <w:r>
        <w:rPr>
          <w:rFonts w:ascii="Times New Roman" w:hAnsi="Times New Roman"/>
          <w:b w:val="false"/>
          <w:i w:val="false"/>
          <w:color w:val="000000"/>
          <w:sz w:val="21"/>
        </w:rPr>
        <w:t>[Filed 10/6/95, Notice 8/30/95—published 10/25/95, effective 11/29/95]</w:t>
      </w:r>
    </w:p>
    <w:p>
      <w:pPr>
        <w:spacing w:before="0" w:after="0"/>
        <w:ind w:left="120"/>
        <w:jc w:val="center"/>
      </w:pPr>
      <w:r>
        <w:rPr>
          <w:rFonts w:ascii="Times New Roman" w:hAnsi="Times New Roman"/>
          <w:b w:val="false"/>
          <w:i w:val="false"/>
          <w:color w:val="000000"/>
          <w:sz w:val="21"/>
        </w:rPr>
        <w:t>[Filed 11/15/96, Notice 10/9/96—published 12/4/96, effective 1/8/97]</w:t>
      </w:r>
    </w:p>
    <w:p>
      <w:pPr>
        <w:spacing w:before="0" w:after="0"/>
        <w:ind w:left="120"/>
        <w:jc w:val="center"/>
      </w:pPr>
      <w:r>
        <w:rPr>
          <w:rFonts w:ascii="Times New Roman" w:hAnsi="Times New Roman"/>
          <w:b w:val="false"/>
          <w:i w:val="false"/>
          <w:color w:val="000000"/>
          <w:sz w:val="21"/>
        </w:rPr>
        <w:t>[Filed 1/7/00, Notice 12/1/99—published 1/26/00, effective 3/1/00]</w:t>
      </w:r>
    </w:p>
    <w:p>
      <w:pPr>
        <w:spacing w:before="0" w:after="0"/>
        <w:ind w:left="120"/>
        <w:jc w:val="center"/>
      </w:pPr>
      <w:r>
        <w:rPr>
          <w:rFonts w:ascii="Times New Roman" w:hAnsi="Times New Roman"/>
          <w:b w:val="false"/>
          <w:i w:val="false"/>
          <w:color w:val="000000"/>
          <w:sz w:val="21"/>
        </w:rPr>
        <w:t>[Filed 10/12/01, Notice 9/5/01—published 10/31/01, effective 12/5/01]</w:t>
      </w:r>
    </w:p>
    <w:p>
      <w:pPr>
        <w:spacing w:before="0" w:after="0"/>
        <w:ind w:left="120"/>
        <w:jc w:val="center"/>
      </w:pPr>
      <w:r>
        <w:rPr>
          <w:rFonts w:ascii="Times New Roman" w:hAnsi="Times New Roman"/>
          <w:b w:val="false"/>
          <w:i w:val="false"/>
          <w:color w:val="000000"/>
          <w:sz w:val="21"/>
        </w:rPr>
        <w:t>[Filed 12/30/05, Notice 11/9/05—published 1/18/06, effective 2/22/06]</w:t>
      </w:r>
    </w:p>
    <w:p>
      <w:pPr>
        <w:spacing w:before="0" w:after="0"/>
        <w:ind w:left="120"/>
        <w:jc w:val="center"/>
      </w:pPr>
      <w:r>
        <w:rPr>
          <w:rFonts w:ascii="Times New Roman" w:hAnsi="Times New Roman"/>
          <w:b w:val="false"/>
          <w:i w:val="false"/>
          <w:color w:val="000000"/>
          <w:sz w:val="21"/>
        </w:rPr>
        <w:t>[Filed ARC 7726B</w:t>
      </w:r>
      <w:r>
        <w:rPr>
          <w:rFonts w:ascii="Times New Roman" w:hAnsi="Times New Roman"/>
          <w:b w:val="false"/>
          <w:i w:val="false"/>
          <w:color w:val="000000"/>
          <w:sz w:val="21"/>
        </w:rPr>
        <w:t xml:space="preserve"> (Notice ARC 7592B, IAB 2/25/09)</w:t>
      </w:r>
      <w:r>
        <w:rPr>
          <w:rFonts w:ascii="Times New Roman" w:hAnsi="Times New Roman"/>
          <w:b w:val="false"/>
          <w:i w:val="false"/>
          <w:color w:val="000000"/>
          <w:sz w:val="21"/>
        </w:rPr>
        <w:t>, IAB 4/22/09, effective 5/27/09]</w:t>
      </w:r>
    </w:p>
    <w:p>
      <w:pPr>
        <w:spacing w:before="0" w:after="0"/>
        <w:ind w:left="120"/>
        <w:jc w:val="center"/>
      </w:pPr>
      <w:r>
        <w:rPr>
          <w:rFonts w:ascii="Times New Roman" w:hAnsi="Times New Roman"/>
          <w:b w:val="false"/>
          <w:i w:val="false"/>
          <w:color w:val="000000"/>
          <w:sz w:val="21"/>
        </w:rPr>
        <w:t>[Filed ARC 8358B</w:t>
      </w:r>
      <w:r>
        <w:rPr>
          <w:rFonts w:ascii="Times New Roman" w:hAnsi="Times New Roman"/>
          <w:b w:val="false"/>
          <w:i w:val="false"/>
          <w:color w:val="000000"/>
          <w:sz w:val="21"/>
        </w:rPr>
        <w:t xml:space="preserve"> (Notice ARC 8224B, IAB 10/7/09)</w:t>
      </w:r>
      <w:r>
        <w:rPr>
          <w:rFonts w:ascii="Times New Roman" w:hAnsi="Times New Roman"/>
          <w:b w:val="false"/>
          <w:i w:val="false"/>
          <w:color w:val="000000"/>
          <w:sz w:val="21"/>
        </w:rPr>
        <w:t>, IAB 12/2/09, effective 1/6/10]</w:t>
      </w:r>
    </w:p>
    <w:p>
      <w:pPr>
        <w:spacing w:before="0" w:after="0"/>
        <w:ind w:left="120"/>
        <w:jc w:val="center"/>
      </w:pPr>
      <w:r>
        <w:rPr>
          <w:rFonts w:ascii="Times New Roman" w:hAnsi="Times New Roman"/>
          <w:b w:val="false"/>
          <w:i w:val="false"/>
          <w:color w:val="000000"/>
          <w:sz w:val="21"/>
        </w:rPr>
        <w:t>[Filed ARC 5289C</w:t>
      </w:r>
      <w:r>
        <w:rPr>
          <w:rFonts w:ascii="Times New Roman" w:hAnsi="Times New Roman"/>
          <w:b w:val="false"/>
          <w:i w:val="false"/>
          <w:color w:val="000000"/>
          <w:sz w:val="21"/>
        </w:rPr>
        <w:t xml:space="preserve"> (Notice ARC 5184C, IAB 9/23/20)</w:t>
      </w:r>
      <w:r>
        <w:rPr>
          <w:rFonts w:ascii="Times New Roman" w:hAnsi="Times New Roman"/>
          <w:b w:val="false"/>
          <w:i w:val="false"/>
          <w:color w:val="000000"/>
          <w:sz w:val="21"/>
        </w:rPr>
        <w:t>, IAB 11/18/20, effective 12/23/20]</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pBdr>
          <w:bottom w:space="2"/>
        </w:pBdr>
        <w:spacing w:before="0" w:after="0"/>
        <w:ind w:left="120"/>
        <w:jc w:val="both"/>
      </w:pPr>
      <w:r>
        <w:rPr>
          <w:rFonts w:ascii="Times New Roman" w:hAnsi="Times New Roman"/>
          <w:b w:val="false"/>
          <w:i w:val="false"/>
          <w:color w:val="000000"/>
          <w:sz w:val="22"/>
        </w:rPr>
        <w:t>Effective date of subrule 79.1(4) was delayed by the Administrative Rules Review Committee 70 days and delay was lifted on November 14, 1979.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8A.2.pdf" Type="http://schemas.openxmlformats.org/officeDocument/2006/relationships/hyperlink" Id="rId5"/>
    <Relationship TargetMode="External" Target="https://www.legis.iowa.gov/docs/ico/chapter/428A.pdf" Type="http://schemas.openxmlformats.org/officeDocument/2006/relationships/hyperlink" Id="rId6"/>
    <Relationship TargetMode="External" Target="https://www.legis.iowa.gov/docs/ico/chapter/428A.pdf" Type="http://schemas.openxmlformats.org/officeDocument/2006/relationships/hyperlink" Id="rId7"/>
    <Relationship TargetMode="External" Target="https://www.legis.iowa.gov/docs/ico/chapter/441.21.pdf" Type="http://schemas.openxmlformats.org/officeDocument/2006/relationships/hyperlink" Id="rId8"/>
    <Relationship TargetMode="External" Target="https://www.legis.iowa.gov/docs/ico/chapter/428A.2.pdf" Type="http://schemas.openxmlformats.org/officeDocument/2006/relationships/hyperlink" Id="rId9"/>
    <Relationship TargetMode="External" Target="https://www.legis.iowa.gov/docs/ico/chapter/441.21.pdf" Type="http://schemas.openxmlformats.org/officeDocument/2006/relationships/hyperlink" Id="rId10"/>
    <Relationship TargetMode="External" Target="https://www.legis.iowa.gov/docs/ico/chapter/428A.2.pdf" Type="http://schemas.openxmlformats.org/officeDocument/2006/relationships/hyperlink" Id="rId11"/>
    <Relationship TargetMode="External" Target="https://www.legis.iowa.gov/docs/ico/chapter/428A.2.pdf" Type="http://schemas.openxmlformats.org/officeDocument/2006/relationships/hyperlink" Id="rId12"/>
    <Relationship TargetMode="External" Target="https://www.legis.iowa.gov/docs/ico/chapter/428A.2.pdf" Type="http://schemas.openxmlformats.org/officeDocument/2006/relationships/hyperlink" Id="rId13"/>
    <Relationship TargetMode="External" Target="https://www.legis.iowa.gov/docs/ico/chapter/428A.2.pdf" Type="http://schemas.openxmlformats.org/officeDocument/2006/relationships/hyperlink" Id="rId14"/>
    <Relationship TargetMode="External" Target="https://www.legis.iowa.gov/docs/ico/chapter/428A.1.pdf" Type="http://schemas.openxmlformats.org/officeDocument/2006/relationships/hyperlink" Id="rId15"/>
    <Relationship TargetMode="External" Target="https://www.legis.iowa.gov/docs/ico/chapter/428A.2.pdf" Type="http://schemas.openxmlformats.org/officeDocument/2006/relationships/hyperlink" Id="rId16"/>
    <Relationship TargetMode="External" Target="https://www.legis.iowa.gov/docs/ico/chapter/421.17.pdf" Type="http://schemas.openxmlformats.org/officeDocument/2006/relationships/hyperlink" Id="rId17"/>
    <Relationship TargetMode="External" Target="https://www.legis.iowa.gov/docs/ico/chapter/421.17.pdf" Type="http://schemas.openxmlformats.org/officeDocument/2006/relationships/hyperlink" Id="rId18"/>
    <Relationship TargetMode="External" Target="https://www.legis.iowa.gov/docs/ico/chapter/421.17.pdf" Type="http://schemas.openxmlformats.org/officeDocument/2006/relationships/hyperlink" Id="rId19"/>
    <Relationship TargetMode="External" Target="https://www.legis.iowa.gov/docs/ico/chapter/428A.1.pdf" Type="http://schemas.openxmlformats.org/officeDocument/2006/relationships/hyperlink" Id="rId20"/>
    <Relationship TargetMode="External" Target="https://www.legis.iowa.gov/docs/ico/chapter/428A.1.pdf" Type="http://schemas.openxmlformats.org/officeDocument/2006/relationships/hyperlink" Id="rId21"/>
    <Relationship TargetMode="External" Target="https://www.legis.iowa.gov/docs/ico/chapter/488.102.pdf" Type="http://schemas.openxmlformats.org/officeDocument/2006/relationships/hyperlink" Id="rId22"/>
    <Relationship TargetMode="External" Target="https://www.legis.iowa.gov/docs/iac/rule/701.109.4.pdf" Type="http://schemas.openxmlformats.org/officeDocument/2006/relationships/hyperlink" Id="rId23"/>
    <Relationship TargetMode="External" Target="https://www.legis.iowa.gov/docs/ico/chapter/428A.1.pdf" Type="http://schemas.openxmlformats.org/officeDocument/2006/relationships/hyperlink" Id="rId24"/>
    <Relationship TargetMode="External" Target="https://www.legis.iowa.gov/docs/ico/chapter/428A.2.pdf" Type="http://schemas.openxmlformats.org/officeDocument/2006/relationships/hyperlink" Id="rId25"/>
    <Relationship TargetMode="External" Target="https://www.legis.iowa.gov/docs/ico/chapter/428A.pdf" Type="http://schemas.openxmlformats.org/officeDocument/2006/relationships/hyperlink" Id="rId26"/>
    <Relationship TargetMode="External" Target="https://www.legis.iowa.gov/docs/ico/chapter/428A.1.pdf" Type="http://schemas.openxmlformats.org/officeDocument/2006/relationships/hyperlink" Id="rId27"/>
    <Relationship TargetMode="External" Target="https://www.legis.iowa.gov/docs/ico/chapter/428A.1.pdf" Type="http://schemas.openxmlformats.org/officeDocument/2006/relationships/hyperlink" Id="rId28"/>
    <Relationship TargetMode="External" Target="https://www.legis.iowa.gov/docs/ico/chapter/428A.15.pdf" Type="http://schemas.openxmlformats.org/officeDocument/2006/relationships/hyperlink" Id="rId29"/>
    <Relationship TargetMode="External" Target="https://www.legis.iowa.gov/docs/ico/chapter/428A.1.pdf" Type="http://schemas.openxmlformats.org/officeDocument/2006/relationships/hyperlink" Id="rId30"/>
    <Relationship TargetMode="External" Target="https://www.legis.iowa.gov/docs/ico/chapter/428A.2.pdf" Type="http://schemas.openxmlformats.org/officeDocument/2006/relationships/hyperlink" Id="rId31"/>
    <Relationship TargetMode="External" Target="https://www.legis.iowa.gov/docs/ico/chapter/428A.4.pdf" Type="http://schemas.openxmlformats.org/officeDocument/2006/relationships/hyperlink" Id="rId32"/>
    <Relationship TargetMode="External" Target="https://www.legis.iowa.gov/docs/ico/chapter/22.pdf" Type="http://schemas.openxmlformats.org/officeDocument/2006/relationships/hyperlink" Id="rId33"/>
    <Relationship TargetMode="External" Target="https://www.legis.iowa.gov/docs/ico/chapter/428A.7.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