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1003</w:t>
      </w:r>
    </w:p>
    <w:p>
      <w:pPr>
        <w:spacing w:before="0" w:after="0"/>
        <w:ind w:left="120"/>
        <w:jc w:val="center"/>
      </w:pPr>
      <w:r>
        <w:rPr>
          <w:rFonts w:ascii="Times New Roman" w:hAnsi="Times New Roman"/>
          <w:b w:val="false"/>
          <w:i w:val="false"/>
          <w:color w:val="000000"/>
          <w:sz w:val="21"/>
        </w:rPr>
        <w:t>TRADE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5/7/30</w:t>
      </w:r>
    </w:p>
    <w:p>
      <w:pPr>
        <w:spacing w:before="0" w:after="0"/>
        <w:ind w:left="120"/>
        <w:jc w:val="both"/>
      </w:pPr>
      <w:r>
        <w:rPr>
          <w:rFonts w:ascii="Times New Roman" w:hAnsi="Times New Roman"/>
          <w:b w:val="false"/>
          <w:i w:val="false"/>
          <w:color w:val="000000"/>
          <w:sz w:val="22"/>
        </w:rPr>
        <w:t xml:space="preserve">The rules in this chapter, adopted pursuant to Iowa Code section </w:t>
      </w:r>
      <w:hyperlink r:id="rId5">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 apply to transactions between industry members, trade buyers and retailers. The rules specify practices considered to be fair and allowable as well as practices deemed to be unfair or inducements. This chapter does not exempt any industry member, trade buyer or retailer from the requirements of any federal law or regulation.</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PART I</w:t>
      </w:r>
    </w:p>
    <w:p>
      <w:pPr>
        <w:spacing w:before="0" w:after="0"/>
        <w:ind w:left="120"/>
        <w:jc w:val="both"/>
      </w:pPr>
      <w:r>
        <w:rPr>
          <w:rFonts w:ascii="Times New Roman" w:hAnsi="Times New Roman"/>
          <w:b w:val="false"/>
          <w:i w:val="false"/>
          <w:color w:val="000000"/>
          <w:sz w:val="22"/>
        </w:rPr>
        <w:t>As used in this chapter, the words, terms and phrases defined in this part shall apply, unless a different meaning is clearly indicated by the context.</w:t>
      </w:r>
    </w:p>
    <w:p>
      <w:pPr>
        <w:spacing w:before="0" w:after="0"/>
        <w:ind w:left="120"/>
        <w:jc w:val="both"/>
      </w:pPr>
      <w:r>
        <w:rPr>
          <w:rFonts w:ascii="Times New Roman" w:hAnsi="Times New Roman"/>
          <w:b/>
          <w:i w:val="false"/>
          <w:color w:val="000000"/>
          <w:sz w:val="22"/>
        </w:rPr>
        <w:t>701—1003.1</w:t>
      </w:r>
      <w:r>
        <w:rPr>
          <w:rFonts w:ascii="Times New Roman" w:hAnsi="Times New Roman"/>
          <w:b/>
          <w:i w:val="false"/>
          <w:color w:val="000000"/>
          <w:sz w:val="22"/>
        </w:rPr>
        <w:t xml:space="preserve">(123)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“Alcoholic liquor”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123.3(4)</w:t>
        </w:r>
      </w:hyperlink>
      <w:r>
        <w:rPr>
          <w:rFonts w:ascii="Times New Roman" w:hAnsi="Times New Roman"/>
          <w:b w:val="false"/>
          <w:i w:val="false"/>
          <w:color w:val="000000"/>
          <w:sz w:val="22"/>
        </w:rPr>
        <w:t xml:space="preserve">. For the purposes of this chapter, “alcoholic liquor” includes “native distilled spirits” as defined in Iowa Code section </w:t>
      </w:r>
      <w:hyperlink r:id="rId7">
        <w:r>
          <w:rPr>
            <w:rStyle w:val="Hyperlink"/>
            <w:rFonts w:ascii="Times New Roman" w:hAnsi="Times New Roman"/>
            <w:b w:val="false"/>
            <w:i w:val="false"/>
            <w:color w:val="000000"/>
            <w:sz w:val="22"/>
          </w:rPr>
          <w:t>123.3(34)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“Beer”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123.3(6)</w:t>
        </w:r>
      </w:hyperlink>
      <w:r>
        <w:rPr>
          <w:rFonts w:ascii="Times New Roman" w:hAnsi="Times New Roman"/>
          <w:b w:val="false"/>
          <w:i w:val="false"/>
          <w:color w:val="000000"/>
          <w:sz w:val="22"/>
        </w:rPr>
        <w:t xml:space="preserve">. For the purposes of this chapter, “beer” includes “canned cocktail” as defined in Iowa Code section </w:t>
      </w:r>
      <w:hyperlink r:id="rId9">
        <w:r>
          <w:rPr>
            <w:rStyle w:val="Hyperlink"/>
            <w:rFonts w:ascii="Times New Roman" w:hAnsi="Times New Roman"/>
            <w:b w:val="false"/>
            <w:i w:val="false"/>
            <w:color w:val="000000"/>
            <w:sz w:val="22"/>
          </w:rPr>
          <w:t>123.3(10)</w:t>
        </w:r>
      </w:hyperlink>
      <w:r>
        <w:rPr>
          <w:rFonts w:ascii="Times New Roman" w:hAnsi="Times New Roman"/>
          <w:b w:val="false"/>
          <w:i w:val="false"/>
          <w:color w:val="000000"/>
          <w:sz w:val="22"/>
        </w:rPr>
        <w:t xml:space="preserve"> and “high alcoholic content beer” as defined in Iowa Code section </w:t>
      </w:r>
      <w:hyperlink r:id="rId10">
        <w:r>
          <w:rPr>
            <w:rStyle w:val="Hyperlink"/>
            <w:rFonts w:ascii="Times New Roman" w:hAnsi="Times New Roman"/>
            <w:b w:val="false"/>
            <w:i w:val="false"/>
            <w:color w:val="000000"/>
            <w:sz w:val="22"/>
          </w:rPr>
          <w:t>123.3(22)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“Brand” </w:t>
      </w:r>
      <w:r>
        <w:rPr>
          <w:rFonts w:ascii="Times New Roman" w:hAnsi="Times New Roman"/>
          <w:b w:val="false"/>
          <w:i w:val="false"/>
          <w:color w:val="000000"/>
          <w:sz w:val="22"/>
        </w:rPr>
        <w:t>means each alcoholic liquor, wine, or beer packaged and sold under a separate name, class, type, or kind designation (wine appellation of origin, wine vintage date, alcoholic liquor age, percentage of alcohol,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includes but is not limited to mechanized and nonmechanized refrigeration units and devices used in the storage, dispensing, and cooling of alcoholic liquor, wine and beer, tap boxes, party wagons, dispensing systems, and shelving. Equipment does not include tapping accessories (including faucets, rods, vents, taps, hoses, washers, couplings, gas gauges, vent tongues, shanks, check valves, and picnic pumps) that are used in dispensing wine or beer from kegs or bulk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“Exclusion,” </w:t>
      </w:r>
      <w:r>
        <w:rPr>
          <w:rFonts w:ascii="Times New Roman" w:hAnsi="Times New Roman"/>
          <w:b w:val="false"/>
          <w:i w:val="false"/>
          <w:color w:val="000000"/>
          <w:sz w:val="22"/>
        </w:rPr>
        <w:t>in whole or in part, means a practice by an industry member, whether direct, indirect, or through an affiliate, that places (or has the potential to place) retailer independence at risk by means of a tie or link between the industry member and retailer or by any other means of industry member control over the retailer, and such practice results in the retailer’s purchasing less than it would have of a competing industry member’s product. The following criteria are indications that a particular practice places retailer independence at risk. A practice need not meet all of the criteria specified below in order to place retailer independence at risk.</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practice restricts or hampers the free economic choice of a retailer to decide which products to purchase or the quantity in which to purchase them for sale to consumers.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industry member obligates the retailer to participate in a promotion to obtain the industry member’s product.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retailer has a continuing obligation to purchase or otherwise promote the industry member’s product.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retailer has a commitment not to terminate its relationship with the industry member with respect to purchase of the industry member’s products.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practice involves the industry member in the day-to-day operations of the retailer. For example, the industry member controls the retailer’s decisions on which brand of products to purchase, the pricing of products, or the manner in which the products will be displayed on the retailer’s premises.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practice is discriminatory in that it is not offered to all retailers in the local market on the same terms without business reasons present to justify the difference 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“Fixtures” </w:t>
      </w:r>
      <w:r>
        <w:rPr>
          <w:rFonts w:ascii="Times New Roman" w:hAnsi="Times New Roman"/>
          <w:b w:val="false"/>
          <w:i w:val="false"/>
          <w:color w:val="000000"/>
          <w:sz w:val="22"/>
        </w:rPr>
        <w:t>includes but is not limited to bar sinks, bars, light fixtures, and indoor or outdoor signs used to identify the retail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“Furnishings” </w:t>
      </w:r>
      <w:r>
        <w:rPr>
          <w:rFonts w:ascii="Times New Roman" w:hAnsi="Times New Roman"/>
          <w:b w:val="false"/>
          <w:i w:val="false"/>
          <w:color w:val="000000"/>
          <w:sz w:val="22"/>
        </w:rPr>
        <w:t xml:space="preserve">includes but is not limited to money, services, chairs, tables, lamps, pictures, remodeling costs, bar sinks, carpeting, bar stools, display cabinets and curios, linens, linen services, china and silver or stainless steel eating and other utensils, decorations, and sound systems used by a retailer. (Durable and disposable glassware is addressed in rule </w:t>
      </w:r>
      <w:hyperlink r:id="rId11">
        <w:r>
          <w:rPr>
            <w:rStyle w:val="Hyperlink"/>
            <w:rFonts w:ascii="Times New Roman" w:hAnsi="Times New Roman"/>
            <w:b w:val="false"/>
            <w:i w:val="false"/>
            <w:color w:val="000000"/>
            <w:sz w:val="22"/>
          </w:rPr>
          <w:t>701—1003.4</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“Furnishings, fixtures and equipment” </w:t>
      </w:r>
      <w:r>
        <w:rPr>
          <w:rFonts w:ascii="Times New Roman" w:hAnsi="Times New Roman"/>
          <w:b w:val="false"/>
          <w:i w:val="false"/>
          <w:color w:val="000000"/>
          <w:sz w:val="22"/>
        </w:rPr>
        <w:t xml:space="preserve">does not include the items identified in rule </w:t>
      </w:r>
      <w:hyperlink r:id="rId12">
        <w:r>
          <w:rPr>
            <w:rStyle w:val="Hyperlink"/>
            <w:rFonts w:ascii="Times New Roman" w:hAnsi="Times New Roman"/>
            <w:b w:val="false"/>
            <w:i w:val="false"/>
            <w:color w:val="000000"/>
            <w:sz w:val="22"/>
          </w:rPr>
          <w:t>701—1003.2</w:t>
        </w:r>
      </w:hyperlink>
      <w:r>
        <w:rPr>
          <w:rFonts w:ascii="Times New Roman" w:hAnsi="Times New Roman"/>
          <w:b w:val="false"/>
          <w:i w:val="false"/>
          <w:color w:val="000000"/>
          <w:sz w:val="22"/>
        </w:rPr>
        <w:t xml:space="preserve">(123), subrules </w:t>
      </w:r>
      <w:r>
        <w:rPr>
          <w:rFonts w:ascii="Times New Roman" w:hAnsi="Times New Roman"/>
          <w:b w:val="false"/>
          <w:i w:val="false"/>
          <w:color w:val="000000"/>
          <w:sz w:val="22"/>
        </w:rPr>
        <w:t>1003.3(1)</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1003.3(2)</w:t>
      </w:r>
      <w:r>
        <w:rPr>
          <w:rFonts w:ascii="Times New Roman" w:hAnsi="Times New Roman"/>
          <w:b w:val="false"/>
          <w:i w:val="false"/>
          <w:color w:val="000000"/>
          <w:sz w:val="22"/>
        </w:rPr>
        <w:t xml:space="preserve">, rule </w:t>
      </w:r>
      <w:hyperlink r:id="rId13">
        <w:r>
          <w:rPr>
            <w:rStyle w:val="Hyperlink"/>
            <w:rFonts w:ascii="Times New Roman" w:hAnsi="Times New Roman"/>
            <w:b w:val="false"/>
            <w:i w:val="false"/>
            <w:color w:val="000000"/>
            <w:sz w:val="22"/>
          </w:rPr>
          <w:t>701—1003.4</w:t>
        </w:r>
      </w:hyperlink>
      <w:r>
        <w:rPr>
          <w:rFonts w:ascii="Times New Roman" w:hAnsi="Times New Roman"/>
          <w:b w:val="false"/>
          <w:i w:val="false"/>
          <w:color w:val="000000"/>
          <w:sz w:val="22"/>
        </w:rPr>
        <w:t xml:space="preserve">(123), rule </w:t>
      </w:r>
      <w:hyperlink r:id="rId14">
        <w:r>
          <w:rPr>
            <w:rStyle w:val="Hyperlink"/>
            <w:rFonts w:ascii="Times New Roman" w:hAnsi="Times New Roman"/>
            <w:b w:val="false"/>
            <w:i w:val="false"/>
            <w:color w:val="000000"/>
            <w:sz w:val="22"/>
          </w:rPr>
          <w:t>701—1003.5</w:t>
        </w:r>
      </w:hyperlink>
      <w:r>
        <w:rPr>
          <w:rFonts w:ascii="Times New Roman" w:hAnsi="Times New Roman"/>
          <w:b w:val="false"/>
          <w:i w:val="false"/>
          <w:color w:val="000000"/>
          <w:sz w:val="22"/>
        </w:rPr>
        <w:t xml:space="preserve">(123), rule </w:t>
      </w:r>
      <w:hyperlink r:id="rId15">
        <w:r>
          <w:rPr>
            <w:rStyle w:val="Hyperlink"/>
            <w:rFonts w:ascii="Times New Roman" w:hAnsi="Times New Roman"/>
            <w:b w:val="false"/>
            <w:i w:val="false"/>
            <w:color w:val="000000"/>
            <w:sz w:val="22"/>
          </w:rPr>
          <w:t>701—1003.6</w:t>
        </w:r>
      </w:hyperlink>
      <w:r>
        <w:rPr>
          <w:rFonts w:ascii="Times New Roman" w:hAnsi="Times New Roman"/>
          <w:b w:val="false"/>
          <w:i w:val="false"/>
          <w:color w:val="000000"/>
          <w:sz w:val="22"/>
        </w:rPr>
        <w:t xml:space="preserve">(123), or paragraph </w:t>
      </w:r>
      <w:r>
        <w:rPr>
          <w:rFonts w:ascii="Times New Roman" w:hAnsi="Times New Roman"/>
          <w:b w:val="false"/>
          <w:i w:val="false"/>
          <w:color w:val="000000"/>
          <w:sz w:val="22"/>
        </w:rPr>
        <w:t>1003.12(2)</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“Industry member” </w:t>
      </w:r>
      <w:r>
        <w:rPr>
          <w:rFonts w:ascii="Times New Roman" w:hAnsi="Times New Roman"/>
          <w:b w:val="false"/>
          <w:i w:val="false"/>
          <w:color w:val="000000"/>
          <w:sz w:val="22"/>
        </w:rPr>
        <w:t xml:space="preserve">means an alcoholic beverages manufacturer, including a distiller, vintner or brewer, bottler, importer, wholesaler, representative, broker, agent, officer, director, shareholder not considered an institutional investor as defined in Iowa Code section </w:t>
      </w:r>
      <w:hyperlink r:id="rId16">
        <w:r>
          <w:rPr>
            <w:rStyle w:val="Hyperlink"/>
            <w:rFonts w:ascii="Times New Roman" w:hAnsi="Times New Roman"/>
            <w:b w:val="false"/>
            <w:i w:val="false"/>
            <w:color w:val="000000"/>
            <w:sz w:val="22"/>
          </w:rPr>
          <w:t>123.3(27)</w:t>
        </w:r>
      </w:hyperlink>
      <w:r>
        <w:rPr>
          <w:rFonts w:ascii="Times New Roman" w:hAnsi="Times New Roman"/>
          <w:b w:val="false"/>
          <w:i w:val="false"/>
          <w:color w:val="000000"/>
          <w:sz w:val="22"/>
        </w:rPr>
        <w:t>, partner or employee of each of the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 </w:t>
      </w:r>
      <w:r>
        <w:rPr>
          <w:rFonts w:ascii="Times New Roman" w:hAnsi="Times New Roman"/>
          <w:b w:val="false"/>
          <w:i w:val="false"/>
          <w:color w:val="000000"/>
          <w:sz w:val="22"/>
        </w:rPr>
        <w:t xml:space="preserve">means alcoholic liquor, wine, or beer as defined in Iowa Code chapter </w:t>
      </w:r>
      <w:hyperlink r:id="rId1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the holder of an alcoholic beverages license, agents, officers, directors, shareholders not considered institutional investors as defined in Iowa Code section </w:t>
      </w:r>
      <w:hyperlink r:id="rId18">
        <w:r>
          <w:rPr>
            <w:rStyle w:val="Hyperlink"/>
            <w:rFonts w:ascii="Times New Roman" w:hAnsi="Times New Roman"/>
            <w:b w:val="false"/>
            <w:i w:val="false"/>
            <w:color w:val="000000"/>
            <w:sz w:val="22"/>
          </w:rPr>
          <w:t>123.3(27)</w:t>
        </w:r>
      </w:hyperlink>
      <w:r>
        <w:rPr>
          <w:rFonts w:ascii="Times New Roman" w:hAnsi="Times New Roman"/>
          <w:b w:val="false"/>
          <w:i w:val="false"/>
          <w:color w:val="000000"/>
          <w:sz w:val="22"/>
        </w:rPr>
        <w:t>, partners, and employees who sell alcoholic liquor, wine or beer to consumers for consumption on or off the premises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“Sampling” </w:t>
      </w:r>
      <w:r>
        <w:rPr>
          <w:rFonts w:ascii="Times New Roman" w:hAnsi="Times New Roman"/>
          <w:b w:val="false"/>
          <w:i w:val="false"/>
          <w:color w:val="000000"/>
          <w:sz w:val="22"/>
        </w:rPr>
        <w:t>means the practice of industry members giving product to a retailer for the purpose of market research, education, promotion of the product, or determination of the flavor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“Tasting” </w:t>
      </w:r>
      <w:r>
        <w:rPr>
          <w:rFonts w:ascii="Times New Roman" w:hAnsi="Times New Roman"/>
          <w:b w:val="false"/>
          <w:i w:val="false"/>
          <w:color w:val="000000"/>
          <w:sz w:val="22"/>
        </w:rPr>
        <w:t>means the presentation and serving of a product by industry members or retailers to consumers for the purpose of market research, education, promotion of the product, or determination of the flavor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“Trade buyer” </w:t>
      </w:r>
      <w:r>
        <w:rPr>
          <w:rFonts w:ascii="Times New Roman" w:hAnsi="Times New Roman"/>
          <w:b w:val="false"/>
          <w:i w:val="false"/>
          <w:color w:val="000000"/>
          <w:sz w:val="22"/>
        </w:rPr>
        <w:t>means a person who is a wholesaler or retailer of alcoholic liquor, wine, or beer.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“Trade spending” </w:t>
      </w:r>
      <w:r>
        <w:rPr>
          <w:rFonts w:ascii="Times New Roman" w:hAnsi="Times New Roman"/>
          <w:b w:val="false"/>
          <w:i w:val="false"/>
          <w:color w:val="000000"/>
          <w:sz w:val="22"/>
        </w:rPr>
        <w:t>means the practice of industry members promoting their brand by purchasing alcoholic beverages for consumers where alcoholic beverages are sold and served for on-premises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“Wine”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123.3(53)</w:t>
        </w:r>
      </w:hyperlink>
      <w:r>
        <w:rPr>
          <w:rFonts w:ascii="Times New Roman" w:hAnsi="Times New Roman"/>
          <w:b w:val="false"/>
          <w:i w:val="false"/>
          <w:color w:val="000000"/>
          <w:sz w:val="22"/>
        </w:rPr>
        <w:t xml:space="preserve">. For the purposes of this chapter, “wine” includes “native wine” as defined in Iowa Code section </w:t>
      </w:r>
      <w:hyperlink r:id="rId20">
        <w:r>
          <w:rPr>
            <w:rStyle w:val="Hyperlink"/>
            <w:rFonts w:ascii="Times New Roman" w:hAnsi="Times New Roman"/>
            <w:b w:val="false"/>
            <w:i w:val="false"/>
            <w:color w:val="000000"/>
            <w:sz w:val="22"/>
          </w:rPr>
          <w:t>123.3(36)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PART II</w:t>
      </w:r>
    </w:p>
    <w:p>
      <w:pPr>
        <w:spacing w:before="0" w:after="0"/>
        <w:ind w:left="120"/>
        <w:jc w:val="both"/>
      </w:pPr>
      <w:r>
        <w:rPr>
          <w:rFonts w:ascii="Times New Roman" w:hAnsi="Times New Roman"/>
          <w:b w:val="false"/>
          <w:i w:val="false"/>
          <w:color w:val="000000"/>
          <w:sz w:val="22"/>
        </w:rPr>
        <w:t>The rules in this part specify industry member practices that are allowed under the conditions and within the limitations prescribed. The rules apply to transactions between industry members and retailers.</w:t>
      </w:r>
    </w:p>
    <w:p>
      <w:pPr>
        <w:spacing w:before="0" w:after="0"/>
        <w:ind w:left="120"/>
        <w:jc w:val="both"/>
      </w:pPr>
      <w:r>
        <w:rPr>
          <w:rFonts w:ascii="Times New Roman" w:hAnsi="Times New Roman"/>
          <w:b/>
          <w:i w:val="false"/>
          <w:color w:val="000000"/>
          <w:sz w:val="22"/>
        </w:rPr>
        <w:t>701—1003.2</w:t>
      </w:r>
      <w:r>
        <w:rPr>
          <w:rFonts w:ascii="Times New Roman" w:hAnsi="Times New Roman"/>
          <w:b/>
          <w:i w:val="false"/>
          <w:color w:val="000000"/>
          <w:sz w:val="22"/>
        </w:rPr>
        <w:t xml:space="preserve">(123) </w:t>
      </w:r>
      <w:r>
        <w:rPr>
          <w:rFonts w:ascii="Times New Roman" w:hAnsi="Times New Roman"/>
          <w:b/>
          <w:i w:val="false"/>
          <w:color w:val="000000"/>
          <w:sz w:val="22"/>
        </w:rPr>
        <w:t xml:space="preserve">Product displays.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1003.2(1)</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this rule, an industry member is prohibited, directly or indirectly, from inducing a retailer to purchase any products from the industry member to the exclusion, in whole or in part, of products sold or offered for sale by other industry members by any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Renting, leasing, or buying display space from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Paying a retailer to set up a display.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Giving a special price on the products featured in the display or other products sold by the industry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free merchandise to a retailer in return for a display.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1003.2(2)</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give, furnish, sell, rent or loan product displays, such as wine racks, bins, barrels, casks and portable, disposable shelving from which alcoholic beverages are displayed and sold, provided that the product display bears conspicuous and substantial advertising matter on the product or the industry member that is permanently inscribed or securely affixed. The name and address of the retailer may appear on the product display. A product display is prohibited if it has secondary value to the retailer, for other than advertising purposes. An industry member is prohibited from requiring a retailer to purchase a specific quantity of alcoholic liquor, wine or beer in order to receive a product display.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1003.2(3)</w:t>
      </w:r>
      <w:r>
        <w:rPr>
          <w:rFonts w:ascii="Times New Roman" w:hAnsi="Times New Roman"/>
          <w:b w:val="false"/>
          <w:i w:val="false"/>
          <w:color w:val="000000"/>
          <w:sz w:val="22"/>
        </w:rPr>
        <w:t> </w:t>
      </w:r>
      <w:r>
        <w:rPr>
          <w:rFonts w:ascii="Times New Roman" w:hAnsi="Times New Roman"/>
          <w:b w:val="false"/>
          <w:i w:val="false"/>
          <w:color w:val="000000"/>
          <w:sz w:val="22"/>
        </w:rPr>
        <w:t>The total value of all product displays may not exceed $300 per brand at any one time in any one retail establishment. The value of the product display is the industry member’s original cost of the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1003.2(4)</w:t>
      </w:r>
      <w:r>
        <w:rPr>
          <w:rFonts w:ascii="Times New Roman" w:hAnsi="Times New Roman"/>
          <w:b w:val="false"/>
          <w:i w:val="false"/>
          <w:color w:val="000000"/>
          <w:sz w:val="22"/>
        </w:rPr>
        <w:t> </w:t>
      </w:r>
      <w:r>
        <w:rPr>
          <w:rFonts w:ascii="Times New Roman" w:hAnsi="Times New Roman"/>
          <w:b w:val="false"/>
          <w:i w:val="false"/>
          <w:color w:val="000000"/>
          <w:sz w:val="22"/>
        </w:rPr>
        <w:t>Industry members may not pool or combine their dollar limitations in order to provide a retailer with a product display that exceeds $300. Industry members are prohibited from pooling or combining several brands to provide a retailer with a product display that exceeds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shall keep and maintain records in accordance with rule </w:t>
      </w:r>
      <w:hyperlink r:id="rId23">
        <w:r>
          <w:rPr>
            <w:rStyle w:val="Hyperlink"/>
            <w:rFonts w:ascii="Times New Roman" w:hAnsi="Times New Roman"/>
            <w:b w:val="false"/>
            <w:i w:val="false"/>
            <w:color w:val="000000"/>
            <w:sz w:val="22"/>
          </w:rPr>
          <w:t>701—1003.16</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701—1003.3</w:t>
      </w:r>
      <w:r>
        <w:rPr>
          <w:rFonts w:ascii="Times New Roman" w:hAnsi="Times New Roman"/>
          <w:b/>
          <w:i w:val="false"/>
          <w:color w:val="000000"/>
          <w:sz w:val="22"/>
        </w:rPr>
        <w:t xml:space="preserve">(123) </w:t>
      </w:r>
      <w:r>
        <w:rPr>
          <w:rFonts w:ascii="Times New Roman" w:hAnsi="Times New Roman"/>
          <w:b/>
          <w:i w:val="false"/>
          <w:color w:val="000000"/>
          <w:sz w:val="22"/>
        </w:rPr>
        <w:t xml:space="preserve">Retailer advertising utensils, consumer advertising specialties, and retailer wearing apparel.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1003.3(1)</w:t>
      </w:r>
      <w:r>
        <w:rPr>
          <w:rFonts w:ascii="Times New Roman" w:hAnsi="Times New Roman"/>
          <w:b w:val="false"/>
          <w:i w:val="false"/>
          <w:color w:val="000000"/>
          <w:sz w:val="22"/>
        </w:rPr>
        <w:t> </w:t>
      </w:r>
      <w:r>
        <w:rPr>
          <w:rFonts w:ascii="Times New Roman" w:hAnsi="Times New Roman"/>
          <w:b w:val="false"/>
          <w:i/>
          <w:color w:val="000000"/>
          <w:sz w:val="22"/>
        </w:rPr>
        <w:t xml:space="preserve">Retailer advertising utensils.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supply, give, or sell retailer advertising utensils that are primarily valuable as point-of-sale advertising intended for use on the premises of the retail establishment. Such materials include but are not limited to posters, placards, designs, inside signs (electric, mechanical or otherwise), billboards, window decorations, trays, coasters, mats, menu cards, meal checks, paper napkins, foam scrapers, back bar mats, thermometers, clocks, calendars, and alcoholic beverage lists or menus.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retailer advertising utensils must bear conspicuous and substantial advertising matter about the product or the industry member that is permanently inscribed or securely affixed. The name and address of the retailer may appear on the point-of-sale advertising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industry member shall not pay or credit a retailer, directly or indirectly, for using retailer advertising utensils or for any expense incidental to their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1003.3(2)</w:t>
      </w:r>
      <w:r>
        <w:rPr>
          <w:rFonts w:ascii="Times New Roman" w:hAnsi="Times New Roman"/>
          <w:b w:val="false"/>
          <w:i w:val="false"/>
          <w:color w:val="000000"/>
          <w:sz w:val="22"/>
        </w:rPr>
        <w:t> </w:t>
      </w:r>
      <w:r>
        <w:rPr>
          <w:rFonts w:ascii="Times New Roman" w:hAnsi="Times New Roman"/>
          <w:b w:val="false"/>
          <w:i/>
          <w:color w:val="000000"/>
          <w:sz w:val="22"/>
        </w:rPr>
        <w:t xml:space="preserve">Consumer advertising specialties.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furnish, give, or sell consumer advertising specialties to a retailer for unconditional distribution by the retailer to consumers. Consumer advertising specialties may include such items as nonalcoholic mixers, bottle or can openers, corkscrews, shopping bags, matches, printed recipes, pamphlets, cards, leaflets, blotters, postcards, pens or pencils, shirts, caps, and 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Consumer advertising specialties must bear conspicuous and substantial advertising matter about the product or the industry member that is permanently inscribed or securely affixed.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industry member shall not pay or credit a retailer, directly or indirectly, for distributing consumer advertising specialties or for any expense incidental to their use. There is no dollar limitation on consumer souvenirs.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a consumer advertising specialty also advertises a local event not sponsored by the retailer, the consumer advertising specialty need only be offered by the industry member to the retailers within the local community where the event is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1003.3(3)</w:t>
      </w:r>
      <w:r>
        <w:rPr>
          <w:rFonts w:ascii="Times New Roman" w:hAnsi="Times New Roman"/>
          <w:b w:val="false"/>
          <w:i w:val="false"/>
          <w:color w:val="000000"/>
          <w:sz w:val="22"/>
        </w:rPr>
        <w:t> </w:t>
      </w:r>
      <w:r>
        <w:rPr>
          <w:rFonts w:ascii="Times New Roman" w:hAnsi="Times New Roman"/>
          <w:b w:val="false"/>
          <w:i/>
          <w:color w:val="000000"/>
          <w:sz w:val="22"/>
        </w:rPr>
        <w:t xml:space="preserve">Retailer wearing apparel. </w:t>
      </w:r>
      <w:r>
        <w:rPr>
          <w:rFonts w:ascii="Times New Roman" w:hAnsi="Times New Roman"/>
          <w:b w:val="false"/>
          <w:i w:val="false"/>
          <w:color w:val="000000"/>
          <w:sz w:val="22"/>
        </w:rPr>
        <w:t>An industry member may sell wearing apparel, including sweatshirts, T-shirts, pants, shorts, hats, caps, polo-type shirts, jackets, jerseys and other similar clothing, that bears substantial permanently affixed advertising identifying the industry member’s name or products to a retailer for use by the retailer and the retailer’s employees at not less than the industry member’s laid-in cost of the items. There is no dollar limitation on wearing apparel that may be sold by an industry member to a 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1003.3(4)</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An industry member shall keep and maintain records in accordance with rule </w:t>
      </w:r>
      <w:hyperlink r:id="rId25">
        <w:r>
          <w:rPr>
            <w:rStyle w:val="Hyperlink"/>
            <w:rFonts w:ascii="Times New Roman" w:hAnsi="Times New Roman"/>
            <w:b w:val="false"/>
            <w:i w:val="false"/>
            <w:color w:val="000000"/>
            <w:sz w:val="22"/>
          </w:rPr>
          <w:t>701—1003.16</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701—1003.4</w:t>
      </w:r>
      <w:r>
        <w:rPr>
          <w:rFonts w:ascii="Times New Roman" w:hAnsi="Times New Roman"/>
          <w:b/>
          <w:i w:val="false"/>
          <w:color w:val="000000"/>
          <w:sz w:val="22"/>
        </w:rPr>
        <w:t xml:space="preserve">(123) </w:t>
      </w:r>
      <w:r>
        <w:rPr>
          <w:rFonts w:ascii="Times New Roman" w:hAnsi="Times New Roman"/>
          <w:b/>
          <w:i w:val="false"/>
          <w:color w:val="000000"/>
          <w:sz w:val="22"/>
        </w:rPr>
        <w:t xml:space="preserve">Glassware.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1003.4(1)</w:t>
      </w:r>
      <w:r>
        <w:rPr>
          <w:rFonts w:ascii="Times New Roman" w:hAnsi="Times New Roman"/>
          <w:b w:val="false"/>
          <w:i w:val="false"/>
          <w:color w:val="000000"/>
          <w:sz w:val="22"/>
        </w:rPr>
        <w:t> </w:t>
      </w:r>
      <w:r>
        <w:rPr>
          <w:rFonts w:ascii="Times New Roman" w:hAnsi="Times New Roman"/>
          <w:b w:val="false"/>
          <w:i/>
          <w:color w:val="000000"/>
          <w:sz w:val="22"/>
        </w:rPr>
        <w:t xml:space="preserve">Disposable beer or wine glassware.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industry member engaged in the manufacturing or wholesaling of beer or wine may sell disposable glassware (including foam, paper and one-use plastic cups) to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engaged in the manufacturing or wholesaling of beer or wine is prohibited from selling disposable glassware to a retailer at less than the industry member’s laid-in cost of the disposable glassware.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1003.4(2)</w:t>
      </w:r>
      <w:r>
        <w:rPr>
          <w:rFonts w:ascii="Times New Roman" w:hAnsi="Times New Roman"/>
          <w:b w:val="false"/>
          <w:i w:val="false"/>
          <w:color w:val="000000"/>
          <w:sz w:val="22"/>
        </w:rPr>
        <w:t> </w:t>
      </w:r>
      <w:r>
        <w:rPr>
          <w:rFonts w:ascii="Times New Roman" w:hAnsi="Times New Roman"/>
          <w:b w:val="false"/>
          <w:i/>
          <w:color w:val="000000"/>
          <w:sz w:val="22"/>
        </w:rPr>
        <w:t xml:space="preserve">Commemorative beer or wine glassware.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industry member engaged in the manufacturing or wholesaling of beer or wine may sell commemorative glassware that bears substantial advertising matter identifying the industry member or the industry member’s product to off-premises retailers for resale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engaged in the manufacturing or wholesaling of beer or wine is prohibited from selling commemorative glassware to off-premises retailers at less than the industry member’s laid-in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1003.4(3)</w:t>
      </w:r>
      <w:r>
        <w:rPr>
          <w:rFonts w:ascii="Times New Roman" w:hAnsi="Times New Roman"/>
          <w:b w:val="false"/>
          <w:i w:val="false"/>
          <w:color w:val="000000"/>
          <w:sz w:val="22"/>
        </w:rPr>
        <w:t> </w:t>
      </w:r>
      <w:r>
        <w:rPr>
          <w:rFonts w:ascii="Times New Roman" w:hAnsi="Times New Roman"/>
          <w:b w:val="false"/>
          <w:i/>
          <w:color w:val="000000"/>
          <w:sz w:val="22"/>
        </w:rPr>
        <w:t xml:space="preserve">Durable or disposable alcoholic liquor glassware.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industry member engaged in the manufacturing or wholesaling of alcoholic liquor may sell durable or disposable (including foam, paper or one-use plastic cups) glassware to a retailer. The glassware must bear advertising matter that identifies the industry member or the industry member’s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engaged in manufacturing or wholesaling alcoholic liquor is prohibited from selling durable or disposable glassware to a retailer at less than the industry member’s laid-in cost of the disposable or durable glassware.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1003.4(4)</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An industry member shall keep and maintain records in accordance with rule </w:t>
      </w:r>
      <w:hyperlink r:id="rId28">
        <w:r>
          <w:rPr>
            <w:rStyle w:val="Hyperlink"/>
            <w:rFonts w:ascii="Times New Roman" w:hAnsi="Times New Roman"/>
            <w:b w:val="false"/>
            <w:i w:val="false"/>
            <w:color w:val="000000"/>
            <w:sz w:val="22"/>
          </w:rPr>
          <w:t>701—1003.16</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701—1003.5</w:t>
      </w:r>
      <w:r>
        <w:rPr>
          <w:rFonts w:ascii="Times New Roman" w:hAnsi="Times New Roman"/>
          <w:b/>
          <w:i w:val="false"/>
          <w:color w:val="000000"/>
          <w:sz w:val="22"/>
        </w:rPr>
        <w:t xml:space="preserve">(123) </w:t>
      </w:r>
      <w:r>
        <w:rPr>
          <w:rFonts w:ascii="Times New Roman" w:hAnsi="Times New Roman"/>
          <w:b/>
          <w:i w:val="false"/>
          <w:color w:val="000000"/>
          <w:sz w:val="22"/>
        </w:rPr>
        <w:t xml:space="preserve">Tapping accessories and coil cleaning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1003.5(1)</w:t>
      </w:r>
      <w:r>
        <w:rPr>
          <w:rFonts w:ascii="Times New Roman" w:hAnsi="Times New Roman"/>
          <w:b w:val="false"/>
          <w:i w:val="false"/>
          <w:color w:val="000000"/>
          <w:sz w:val="22"/>
        </w:rPr>
        <w:t> </w:t>
      </w:r>
      <w:r>
        <w:rPr>
          <w:rFonts w:ascii="Times New Roman" w:hAnsi="Times New Roman"/>
          <w:b w:val="false"/>
          <w:i/>
          <w:color w:val="000000"/>
          <w:sz w:val="22"/>
        </w:rPr>
        <w:t xml:space="preserve">Tapping accessories.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may sell tapping accessories, identified in rule </w:t>
      </w:r>
      <w:hyperlink r:id="rId31">
        <w:r>
          <w:rPr>
            <w:rStyle w:val="Hyperlink"/>
            <w:rFonts w:ascii="Times New Roman" w:hAnsi="Times New Roman"/>
            <w:b w:val="false"/>
            <w:i w:val="false"/>
            <w:color w:val="000000"/>
            <w:sz w:val="22"/>
          </w:rPr>
          <w:t>701—1003.1</w:t>
        </w:r>
      </w:hyperlink>
      <w:r>
        <w:rPr>
          <w:rFonts w:ascii="Times New Roman" w:hAnsi="Times New Roman"/>
          <w:b w:val="false"/>
          <w:i w:val="false"/>
          <w:color w:val="000000"/>
          <w:sz w:val="22"/>
        </w:rPr>
        <w:t>(123), and carbon dioxide to a retailer at not less than the industry member’s laid-in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install tapping accessories at a retail establishment provided the retailer bears the cost of initial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1003.5(2)</w:t>
      </w:r>
      <w:r>
        <w:rPr>
          <w:rFonts w:ascii="Times New Roman" w:hAnsi="Times New Roman"/>
          <w:b w:val="false"/>
          <w:i w:val="false"/>
          <w:color w:val="000000"/>
          <w:sz w:val="22"/>
        </w:rPr>
        <w:t> </w:t>
      </w:r>
      <w:r>
        <w:rPr>
          <w:rFonts w:ascii="Times New Roman" w:hAnsi="Times New Roman"/>
          <w:b w:val="false"/>
          <w:i/>
          <w:color w:val="000000"/>
          <w:sz w:val="22"/>
        </w:rPr>
        <w:t xml:space="preserve">Coil cleaning service. </w:t>
      </w:r>
      <w:r>
        <w:rPr>
          <w:rFonts w:ascii="Times New Roman" w:hAnsi="Times New Roman"/>
          <w:b w:val="false"/>
          <w:i w:val="false"/>
          <w:color w:val="000000"/>
          <w:sz w:val="22"/>
        </w:rPr>
        <w:t>An industry member may sell, furnish or give wine and beer coil cleaning services, including carbon dioxide filters and other necessary accessories to properly clean the coil and affix carbon dioxide filters, to a retailer. The manufacturer shall be responsible for paying for the costs if carbon dioxide filters are provided.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701—1003.6</w:t>
      </w:r>
      <w:r>
        <w:rPr>
          <w:rFonts w:ascii="Times New Roman" w:hAnsi="Times New Roman"/>
          <w:b/>
          <w:i w:val="false"/>
          <w:color w:val="000000"/>
          <w:sz w:val="22"/>
        </w:rPr>
        <w:t xml:space="preserve">(123) </w:t>
      </w:r>
      <w:r>
        <w:rPr>
          <w:rFonts w:ascii="Times New Roman" w:hAnsi="Times New Roman"/>
          <w:b/>
          <w:i w:val="false"/>
          <w:color w:val="000000"/>
          <w:sz w:val="22"/>
        </w:rPr>
        <w:t xml:space="preserve">Tasting.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1003.6(1)</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product served per person during a tasting shall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more than two one-half-of-one-fluid-ounce tastes of any brand of alcoholic liquor.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more than two one-fluid-ounce tastes of any brand of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more than two two-fluid-ounce tastes of any brand of beer.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 more than two two-fluid-ounce tastes of a mixed drink or cocktail as defined in Iowa Code section </w:t>
      </w:r>
      <w:hyperlink r:id="rId34">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Product shall not be served to, or allowed to be consumed by, any consumer who is under legal age, intoxicated, or simulating intoxication.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Product served during a tasting shall not be served by persons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Product served by an industry member shall be limited to the brands the industry member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1003.6(2)</w:t>
      </w:r>
      <w:r>
        <w:rPr>
          <w:rFonts w:ascii="Times New Roman" w:hAnsi="Times New Roman"/>
          <w:b w:val="false"/>
          <w:i w:val="false"/>
          <w:color w:val="000000"/>
          <w:sz w:val="22"/>
        </w:rPr>
        <w:t> </w:t>
      </w:r>
      <w:r>
        <w:rPr>
          <w:rFonts w:ascii="Times New Roman" w:hAnsi="Times New Roman"/>
          <w:b w:val="false"/>
          <w:i/>
          <w:color w:val="000000"/>
          <w:sz w:val="22"/>
        </w:rPr>
        <w:t xml:space="preserve">Tastings conducted by an industry member. </w:t>
      </w:r>
      <w:r>
        <w:rPr>
          <w:rFonts w:ascii="Times New Roman" w:hAnsi="Times New Roman"/>
          <w:b w:val="false"/>
          <w:i w:val="false"/>
          <w:color w:val="000000"/>
          <w:sz w:val="22"/>
        </w:rPr>
        <w:t>An industry member may conduct a tasting on licensed and unlicensed premises, subject to the requirements and restrictions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Licensed 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tasting may be conducted on licensed premises where alcoholic beverages are sold or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tasting shall be limited to the types of alcoholic beverages available for purchase as authorized by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tasting shall be held during the hours in which alcoholic beverages may be legally sold or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provide snack foods or hors d’oeuvres for the participants at the tasting. An industry member may also purchase food at no more than the ordinary retail price from the license or permit holder on whose premises the tasting is being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Product served during a tasting shall either be obtained from the respective wholesaler or purchased at no more than the ordinary retail price from the license or permit holder on whose premises the tasting is being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product or food remaining at the end of a tasting shall be removed from the licensed premises by the industry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Unlicensed 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tasting of wine or beer may be conducted in an unlicensed public place unless prohibited by Iowa Code section </w:t>
      </w:r>
      <w:hyperlink r:id="rId35">
        <w:r>
          <w:rPr>
            <w:rStyle w:val="Hyperlink"/>
            <w:rFonts w:ascii="Times New Roman" w:hAnsi="Times New Roman"/>
            <w:b w:val="false"/>
            <w:i w:val="false"/>
            <w:color w:val="000000"/>
            <w:sz w:val="22"/>
          </w:rPr>
          <w:t>123.46(2)</w:t>
        </w:r>
      </w:hyperlink>
      <w:r>
        <w:rPr>
          <w:rFonts w:ascii="Times New Roman" w:hAnsi="Times New Roman"/>
          <w:b w:val="false"/>
          <w:i w:val="false"/>
          <w:color w:val="000000"/>
          <w:sz w:val="22"/>
        </w:rPr>
        <w:t xml:space="preserve"> or an applicable ordinance or regulation of the local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tasting of alcoholic liquor, wine, or beer may be conducted in an unlicensed private place as defined in Iowa Code section </w:t>
      </w:r>
      <w:hyperlink r:id="rId36">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tasting of alcoholic liquor is prohibited in an unlicensed public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Wine and beer served during a tasting shall be obtained from the respective wholesaler.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provide snack foods or hors d’oeuvres for the participants at the tasting.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product or food remaining at the end of a tasting shall be removed from the premises by the industry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1003.6(3)</w:t>
      </w:r>
      <w:r>
        <w:rPr>
          <w:rFonts w:ascii="Times New Roman" w:hAnsi="Times New Roman"/>
          <w:b w:val="false"/>
          <w:i w:val="false"/>
          <w:color w:val="000000"/>
          <w:sz w:val="22"/>
        </w:rPr>
        <w:t> </w:t>
      </w:r>
      <w:r>
        <w:rPr>
          <w:rFonts w:ascii="Times New Roman" w:hAnsi="Times New Roman"/>
          <w:b w:val="false"/>
          <w:i/>
          <w:color w:val="000000"/>
          <w:sz w:val="22"/>
        </w:rPr>
        <w:t xml:space="preserve">Tastings conducted by a retailer. </w:t>
      </w:r>
      <w:r>
        <w:rPr>
          <w:rFonts w:ascii="Times New Roman" w:hAnsi="Times New Roman"/>
          <w:b w:val="false"/>
          <w:i w:val="false"/>
          <w:color w:val="000000"/>
          <w:sz w:val="22"/>
        </w:rPr>
        <w:t>A retailer licensed or permitted for on- or off-premises consumption may conduct a tasting, subject to the requirements and restrictions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Product served during a tasting shall be served by a retailer, the retailer’s employees or agents, or an industry member who has the explicit consent of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tasting shall be limited to the types of alcoholic beverages available for purchase as authorized by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tasting shall be held during the hours in which alcoholic beverages may be legally sold or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 served during a tasting shall be legally obtained by the retailer as prescribed by Iowa Code chapter </w:t>
      </w:r>
      <w:hyperlink r:id="rId3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off-premises license holder may conduct a tasting when there is no charge for product or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Food may be provided by the retailer for the participants of a tasting.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1003.6(4)</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An industry member shall keep and maintain records in accordance with rule </w:t>
      </w:r>
      <w:hyperlink r:id="rId38">
        <w:r>
          <w:rPr>
            <w:rStyle w:val="Hyperlink"/>
            <w:rFonts w:ascii="Times New Roman" w:hAnsi="Times New Roman"/>
            <w:b w:val="false"/>
            <w:i w:val="false"/>
            <w:color w:val="000000"/>
            <w:sz w:val="22"/>
          </w:rPr>
          <w:t>701—1003.16</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701—1003.7</w:t>
      </w:r>
      <w:r>
        <w:rPr>
          <w:rFonts w:ascii="Times New Roman" w:hAnsi="Times New Roman"/>
          <w:b/>
          <w:i w:val="false"/>
          <w:color w:val="000000"/>
          <w:sz w:val="22"/>
        </w:rPr>
        <w:t xml:space="preserve">(123) </w:t>
      </w:r>
      <w:r>
        <w:rPr>
          <w:rFonts w:ascii="Times New Roman" w:hAnsi="Times New Roman"/>
          <w:b/>
          <w:i w:val="false"/>
          <w:color w:val="000000"/>
          <w:sz w:val="22"/>
        </w:rPr>
        <w:t xml:space="preserve">Sampling.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1003.7(1)</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An industry member may give product to a retailer who has not purchased the brand from that industry member within the preceding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1003.7(2)</w:t>
      </w:r>
      <w:r>
        <w:rPr>
          <w:rFonts w:ascii="Times New Roman" w:hAnsi="Times New Roman"/>
          <w:b w:val="false"/>
          <w:i w:val="false"/>
          <w:color w:val="000000"/>
          <w:sz w:val="22"/>
        </w:rPr>
        <w:t> </w:t>
      </w:r>
      <w:r>
        <w:rPr>
          <w:rFonts w:ascii="Times New Roman" w:hAnsi="Times New Roman"/>
          <w:b w:val="false"/>
          <w:i/>
          <w:color w:val="000000"/>
          <w:sz w:val="22"/>
        </w:rPr>
        <w:t xml:space="preserve">Quantity. </w:t>
      </w:r>
      <w:r>
        <w:rPr>
          <w:rFonts w:ascii="Times New Roman" w:hAnsi="Times New Roman"/>
          <w:b w:val="false"/>
          <w:i w:val="false"/>
          <w:color w:val="000000"/>
          <w:sz w:val="22"/>
        </w:rPr>
        <w:t>Product given to a retailer shall not exceed the following amounts within a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liters of any brand of alcoholic liquor.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Three liters of any brand of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Three gallons of any brand of beer.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1003.7(3)</w:t>
      </w:r>
      <w:r>
        <w:rPr>
          <w:rFonts w:ascii="Times New Roman" w:hAnsi="Times New Roman"/>
          <w:b w:val="false"/>
          <w:i w:val="false"/>
          <w:color w:val="000000"/>
          <w:sz w:val="22"/>
        </w:rPr>
        <w:t> </w:t>
      </w:r>
      <w:r>
        <w:rPr>
          <w:rFonts w:ascii="Times New Roman" w:hAnsi="Times New Roman"/>
          <w:b w:val="false"/>
          <w:i/>
          <w:color w:val="000000"/>
          <w:sz w:val="22"/>
        </w:rPr>
        <w:t xml:space="preserve">Procurement. </w:t>
      </w:r>
      <w:r>
        <w:rPr>
          <w:rFonts w:ascii="Times New Roman" w:hAnsi="Times New Roman"/>
          <w:b w:val="false"/>
          <w:i w:val="false"/>
          <w:color w:val="000000"/>
          <w:sz w:val="22"/>
        </w:rPr>
        <w:t>An industry member shall obtain alcoholic liquor, wine, or beer used for sampling from the respective wholesaler. If a particular product is not available in a size within the quantity limitations of this section, an industry member may provide to a retailer the next larger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1003.7(4)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Each container of product used for sampling shall be clearly marked with the word “SAMPLE”. The marking shall not obscure the label of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1003.7(5)</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An industry member shall keep and maintain records in accordance with rule </w:t>
      </w:r>
      <w:hyperlink r:id="rId40">
        <w:r>
          <w:rPr>
            <w:rStyle w:val="Hyperlink"/>
            <w:rFonts w:ascii="Times New Roman" w:hAnsi="Times New Roman"/>
            <w:b w:val="false"/>
            <w:i w:val="false"/>
            <w:color w:val="000000"/>
            <w:sz w:val="22"/>
          </w:rPr>
          <w:t>701—1003.16</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701—1003.8</w:t>
      </w:r>
      <w:r>
        <w:rPr>
          <w:rFonts w:ascii="Times New Roman" w:hAnsi="Times New Roman"/>
          <w:b/>
          <w:i w:val="false"/>
          <w:color w:val="000000"/>
          <w:sz w:val="22"/>
        </w:rPr>
        <w:t xml:space="preserve">(123) </w:t>
      </w:r>
      <w:r>
        <w:rPr>
          <w:rFonts w:ascii="Times New Roman" w:hAnsi="Times New Roman"/>
          <w:b/>
          <w:i w:val="false"/>
          <w:color w:val="000000"/>
          <w:sz w:val="22"/>
        </w:rPr>
        <w:t xml:space="preserve">Trade spending. </w:t>
      </w:r>
      <w:r>
        <w:rPr>
          <w:rFonts w:ascii="Times New Roman" w:hAnsi="Times New Roman"/>
          <w:b w:val="false"/>
          <w:i w:val="false"/>
          <w:color w:val="000000"/>
          <w:sz w:val="22"/>
        </w:rPr>
        <w:t>An industry member may engage in the practice of trade spending.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1003.8(1)</w:t>
      </w:r>
      <w:r>
        <w:rPr>
          <w:rFonts w:ascii="Times New Roman" w:hAnsi="Times New Roman"/>
          <w:b w:val="false"/>
          <w:i w:val="false"/>
          <w:color w:val="000000"/>
          <w:sz w:val="22"/>
        </w:rPr>
        <w:t> </w:t>
      </w:r>
      <w:r>
        <w:rPr>
          <w:rFonts w:ascii="Times New Roman" w:hAnsi="Times New Roman"/>
          <w:b w:val="false"/>
          <w:i/>
          <w:color w:val="000000"/>
          <w:sz w:val="22"/>
        </w:rPr>
        <w:t xml:space="preserve">Advertising. </w:t>
      </w:r>
      <w:r>
        <w:rPr>
          <w:rFonts w:ascii="Times New Roman" w:hAnsi="Times New Roman"/>
          <w:b w:val="false"/>
          <w:i w:val="false"/>
          <w:color w:val="000000"/>
          <w:sz w:val="22"/>
        </w:rPr>
        <w:t>Trade spending shall be unannounced and unpublicized.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1003.8(2)</w:t>
      </w:r>
      <w:r>
        <w:rPr>
          <w:rFonts w:ascii="Times New Roman" w:hAnsi="Times New Roman"/>
          <w:b w:val="false"/>
          <w:i w:val="false"/>
          <w:color w:val="000000"/>
          <w:sz w:val="22"/>
        </w:rPr>
        <w:t> </w:t>
      </w:r>
      <w:r>
        <w:rPr>
          <w:rFonts w:ascii="Times New Roman" w:hAnsi="Times New Roman"/>
          <w:b w:val="false"/>
          <w:i/>
          <w:color w:val="000000"/>
          <w:sz w:val="22"/>
        </w:rPr>
        <w:t xml:space="preserve">Quantity. </w:t>
      </w:r>
      <w:r>
        <w:rPr>
          <w:rFonts w:ascii="Times New Roman" w:hAnsi="Times New Roman"/>
          <w:b w:val="false"/>
          <w:i w:val="false"/>
          <w:color w:val="000000"/>
          <w:sz w:val="22"/>
        </w:rPr>
        <w:t>The industry member shall be limited to purchasing one round of alcoholic beverages or nonalcoholic beverages for patrons of an on-premises 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1003.8(3)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industry member shall pay the retailer no more than the ordinary retail price for the alcoholic beverage or nonalcoholic beverage.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1003.8(4)</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An industry member shall keep and maintain records in accordance with rule </w:t>
      </w:r>
      <w:hyperlink r:id="rId42">
        <w:r>
          <w:rPr>
            <w:rStyle w:val="Hyperlink"/>
            <w:rFonts w:ascii="Times New Roman" w:hAnsi="Times New Roman"/>
            <w:b w:val="false"/>
            <w:i w:val="false"/>
            <w:color w:val="000000"/>
            <w:sz w:val="22"/>
          </w:rPr>
          <w:t>701—1003.16</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701—1003.9</w:t>
      </w:r>
      <w:r>
        <w:rPr>
          <w:rFonts w:ascii="Times New Roman" w:hAnsi="Times New Roman"/>
          <w:b/>
          <w:i w:val="false"/>
          <w:color w:val="000000"/>
          <w:sz w:val="22"/>
        </w:rPr>
        <w:t xml:space="preserve">(123) </w:t>
      </w:r>
      <w:r>
        <w:rPr>
          <w:rFonts w:ascii="Times New Roman" w:hAnsi="Times New Roman"/>
          <w:b/>
          <w:i w:val="false"/>
          <w:color w:val="000000"/>
          <w:sz w:val="22"/>
        </w:rPr>
        <w:t xml:space="preserve">Discounts. </w:t>
      </w:r>
      <w:r>
        <w:rPr>
          <w:rFonts w:ascii="Times New Roman" w:hAnsi="Times New Roman"/>
          <w:b w:val="false"/>
          <w:i w:val="false"/>
          <w:color w:val="000000"/>
          <w:sz w:val="22"/>
        </w:rPr>
        <w:t>An industry member is prohibited from refusing to give a retailer a discount that is offered to other retailers in the market area, even though the retailer declines to reduce the price to the consumer during the discount period, or to advertise the industry member’s product during the promotion period.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123.135(4)</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123.180(4)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701—1003.10</w:t>
      </w:r>
      <w:r>
        <w:rPr>
          <w:rFonts w:ascii="Times New Roman" w:hAnsi="Times New Roman"/>
          <w:b/>
          <w:i w:val="false"/>
          <w:color w:val="000000"/>
          <w:sz w:val="22"/>
        </w:rPr>
        <w:t xml:space="preserve">(123) </w:t>
      </w:r>
      <w:r>
        <w:rPr>
          <w:rFonts w:ascii="Times New Roman" w:hAnsi="Times New Roman"/>
          <w:b/>
          <w:i w:val="false"/>
          <w:color w:val="000000"/>
          <w:sz w:val="22"/>
        </w:rPr>
        <w:t xml:space="preserve">Combination packaging. </w:t>
      </w:r>
      <w:r>
        <w:rPr>
          <w:rFonts w:ascii="Times New Roman" w:hAnsi="Times New Roman"/>
          <w:b w:val="false"/>
          <w:i w:val="false"/>
          <w:color w:val="000000"/>
          <w:sz w:val="22"/>
        </w:rPr>
        <w:t>An industry member may package and distribute alcoholic liquor, wine, or beer in combination with other nonalcoholic items or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1003.10(1)</w:t>
      </w:r>
      <w:r>
        <w:rPr>
          <w:rFonts w:ascii="Times New Roman" w:hAnsi="Times New Roman"/>
          <w:b w:val="false"/>
          <w:i w:val="false"/>
          <w:color w:val="000000"/>
          <w:sz w:val="22"/>
        </w:rPr>
        <w:t> </w:t>
      </w:r>
      <w:r>
        <w:rPr>
          <w:rFonts w:ascii="Times New Roman" w:hAnsi="Times New Roman"/>
          <w:b w:val="false"/>
          <w:i w:val="false"/>
          <w:color w:val="000000"/>
          <w:sz w:val="22"/>
        </w:rPr>
        <w:t>Combination packages shall not have secondary value to the retailer other than having the potential of attracting purchasers and promoting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1003.10(2)</w:t>
      </w:r>
      <w:r>
        <w:rPr>
          <w:rFonts w:ascii="Times New Roman" w:hAnsi="Times New Roman"/>
          <w:b w:val="false"/>
          <w:i w:val="false"/>
          <w:color w:val="000000"/>
          <w:sz w:val="22"/>
        </w:rPr>
        <w:t> </w:t>
      </w:r>
      <w:r>
        <w:rPr>
          <w:rFonts w:ascii="Times New Roman" w:hAnsi="Times New Roman"/>
          <w:b w:val="false"/>
          <w:i w:val="false"/>
          <w:color w:val="000000"/>
          <w:sz w:val="22"/>
        </w:rPr>
        <w:t>Combination packages shall be designed to be delivered intact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1003.10(3)</w:t>
      </w:r>
      <w:r>
        <w:rPr>
          <w:rFonts w:ascii="Times New Roman" w:hAnsi="Times New Roman"/>
          <w:b w:val="false"/>
          <w:i w:val="false"/>
          <w:color w:val="000000"/>
          <w:sz w:val="22"/>
        </w:rPr>
        <w:t> </w:t>
      </w:r>
      <w:r>
        <w:rPr>
          <w:rFonts w:ascii="Times New Roman" w:hAnsi="Times New Roman"/>
          <w:b w:val="false"/>
          <w:i w:val="false"/>
          <w:color w:val="000000"/>
          <w:sz w:val="22"/>
        </w:rPr>
        <w:t>Industry members who sell alcoholic liquor to the department must comply with the department’s policies regarding combination packaging.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701—1003.11</w:t>
      </w:r>
      <w:r>
        <w:rPr>
          <w:rFonts w:ascii="Times New Roman" w:hAnsi="Times New Roman"/>
          <w:b/>
          <w:i w:val="false"/>
          <w:color w:val="000000"/>
          <w:sz w:val="22"/>
        </w:rPr>
        <w:t xml:space="preserve">(123) </w:t>
      </w:r>
      <w:r>
        <w:rPr>
          <w:rFonts w:ascii="Times New Roman" w:hAnsi="Times New Roman"/>
          <w:b/>
          <w:i w:val="false"/>
          <w:color w:val="000000"/>
          <w:sz w:val="22"/>
        </w:rPr>
        <w:t xml:space="preserve">Consumer promotions.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1003.11(1)</w:t>
      </w:r>
      <w:r>
        <w:rPr>
          <w:rFonts w:ascii="Times New Roman" w:hAnsi="Times New Roman"/>
          <w:b w:val="false"/>
          <w:i w:val="false"/>
          <w:color w:val="000000"/>
          <w:sz w:val="22"/>
        </w:rPr>
        <w:t> </w:t>
      </w:r>
      <w:r>
        <w:rPr>
          <w:rFonts w:ascii="Times New Roman" w:hAnsi="Times New Roman"/>
          <w:b w:val="false"/>
          <w:i/>
          <w:color w:val="000000"/>
          <w:sz w:val="22"/>
        </w:rPr>
        <w:t xml:space="preserve">Coupons. </w:t>
      </w:r>
      <w:r>
        <w:rPr>
          <w:rFonts w:ascii="Times New Roman" w:hAnsi="Times New Roman"/>
          <w:b w:val="false"/>
          <w:i w:val="false"/>
          <w:color w:val="000000"/>
          <w:sz w:val="22"/>
        </w:rPr>
        <w:t>The act by an industry member of furnishing to consumers coupons that are redeemable at a retail establishment does not constitute a means to induce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retailers within the market where the coupon offer is made may redeem such coupons.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not reimburse a retailer for more than the face value of all coupons redeemed, plus a usual and customary handling fee for the redemption of coupons.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1003.11(2)</w:t>
      </w:r>
      <w:r>
        <w:rPr>
          <w:rFonts w:ascii="Times New Roman" w:hAnsi="Times New Roman"/>
          <w:b w:val="false"/>
          <w:i w:val="false"/>
          <w:color w:val="000000"/>
          <w:sz w:val="22"/>
        </w:rPr>
        <w:t> </w:t>
      </w:r>
      <w:r>
        <w:rPr>
          <w:rFonts w:ascii="Times New Roman" w:hAnsi="Times New Roman"/>
          <w:b w:val="false"/>
          <w:i/>
          <w:color w:val="000000"/>
          <w:sz w:val="22"/>
        </w:rPr>
        <w:t xml:space="preserve">Direct offerings. </w:t>
      </w:r>
      <w:r>
        <w:rPr>
          <w:rFonts w:ascii="Times New Roman" w:hAnsi="Times New Roman"/>
          <w:b w:val="false"/>
          <w:i w:val="false"/>
          <w:color w:val="000000"/>
          <w:sz w:val="22"/>
        </w:rPr>
        <w:t>Contest prizes, premium offers, refunds, and like items may be offered by industry members directly to consumers. Officers, employees, and representatives of wholesalers or retailers are excluded from participation.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701—1003.12</w:t>
      </w:r>
      <w:r>
        <w:rPr>
          <w:rFonts w:ascii="Times New Roman" w:hAnsi="Times New Roman"/>
          <w:b/>
          <w:i w:val="false"/>
          <w:color w:val="000000"/>
          <w:sz w:val="22"/>
        </w:rPr>
        <w:t xml:space="preserve">(123) </w:t>
      </w:r>
      <w:r>
        <w:rPr>
          <w:rFonts w:ascii="Times New Roman" w:hAnsi="Times New Roman"/>
          <w:b/>
          <w:i w:val="false"/>
          <w:color w:val="000000"/>
          <w:sz w:val="22"/>
        </w:rPr>
        <w:t xml:space="preserve">Advertising, display or distribution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1003.12(1)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The act of an industry member paying or crediting a retailer, directly or indirectly, for any advertising, display, or distribution service is prohibited if the act results in exclusion. Such acts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payments or credits to retailers that are merely reimbursements, in full or in part, for such services purchased by a retailer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Directly or indirectly sharing the cost of an advertisement with a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Purchasing advertising from a retailer on such things as but not limited to signs, scoreboards, programs, scorecards, and tote boards in ballparks, stadiums, auditoriums, racetracks, arenas, bowling alleys and all other retail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Purchasing advertising in a retailer publication for distribution to consumers or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reimbursements to retailers for setting up product or other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Paying the retailer via a promotion where the industry member rents display space at a retail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1003.12(2)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Newspaper cuts, mats, or engraved blocks for use in retailers’ advertisements may be given or sold by an industry member to a retailer selling the industry member’s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list the names and addresses of two or more unaffiliated retailers selling the products of an industry member in an advertisement of that industry member provided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advertisement does not also contain the retail price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listing is the only reference to the retailers in the advertisement and is relatively inconspicuous in relation to the advertisement as a whole.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advertisement does not refer only to one retailer or only to retail establishments controlled directly or indirectly by the same retailer.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701—1003.13</w:t>
      </w:r>
      <w:r>
        <w:rPr>
          <w:rFonts w:ascii="Times New Roman" w:hAnsi="Times New Roman"/>
          <w:b/>
          <w:i w:val="false"/>
          <w:color w:val="000000"/>
          <w:sz w:val="22"/>
        </w:rPr>
        <w:t xml:space="preserve">(123) </w:t>
      </w:r>
      <w:r>
        <w:rPr>
          <w:rFonts w:ascii="Times New Roman" w:hAnsi="Times New Roman"/>
          <w:b/>
          <w:i w:val="false"/>
          <w:color w:val="000000"/>
          <w:sz w:val="22"/>
        </w:rPr>
        <w:t xml:space="preserve">Stocking and product rotation.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1003.13(1)</w:t>
      </w:r>
      <w:r>
        <w:rPr>
          <w:rFonts w:ascii="Times New Roman" w:hAnsi="Times New Roman"/>
          <w:b w:val="false"/>
          <w:i w:val="false"/>
          <w:color w:val="000000"/>
          <w:sz w:val="22"/>
        </w:rPr>
        <w:t> </w:t>
      </w:r>
      <w:r>
        <w:rPr>
          <w:rFonts w:ascii="Times New Roman" w:hAnsi="Times New Roman"/>
          <w:b w:val="false"/>
          <w:i/>
          <w:color w:val="000000"/>
          <w:sz w:val="22"/>
        </w:rPr>
        <w:t xml:space="preserve">Allowable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stock, rotate, and reset alcoholic liquor, wine or beer sold by the industry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affix prices to alcoholic liquor, wine or beer sold by the industry member at the time of delivery, provided that the retailer independently determines the price of the alcoholic liquor, wine and beer.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build product displays either at the time of delivery or at other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provide a retailer with a recommended shelf plan or shelf schematic for alcoholic liquor, wine, and beer.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1003.13(2)</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not reset or rearrange another industry member’s products without the explicit consent of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is prohibited from removing another industry member’s point-of-sale advertising matter.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701—1003.14</w:t>
      </w:r>
      <w:r>
        <w:rPr>
          <w:rFonts w:ascii="Times New Roman" w:hAnsi="Times New Roman"/>
          <w:b/>
          <w:i w:val="false"/>
          <w:color w:val="000000"/>
          <w:sz w:val="22"/>
        </w:rPr>
        <w:t xml:space="preserve">(123) </w:t>
      </w:r>
      <w:r>
        <w:rPr>
          <w:rFonts w:ascii="Times New Roman" w:hAnsi="Times New Roman"/>
          <w:b/>
          <w:i w:val="false"/>
          <w:color w:val="000000"/>
          <w:sz w:val="22"/>
        </w:rPr>
        <w:t xml:space="preserve">Sponsorships and special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1003.14(1)</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contribute to charitable, civic, religious, fraternal, educational and community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1003.14(2)</w:t>
      </w:r>
      <w:r>
        <w:rPr>
          <w:rFonts w:ascii="Times New Roman" w:hAnsi="Times New Roman"/>
          <w:b w:val="false"/>
          <w:i w:val="false"/>
          <w:color w:val="000000"/>
          <w:sz w:val="22"/>
        </w:rPr>
        <w:t> </w:t>
      </w:r>
      <w:r>
        <w:rPr>
          <w:rFonts w:ascii="Times New Roman" w:hAnsi="Times New Roman"/>
          <w:b w:val="false"/>
          <w:i w:val="false"/>
          <w:color w:val="000000"/>
          <w:sz w:val="22"/>
        </w:rPr>
        <w:t>If such entity is conducting a special event as a retailer or in conjunction with a retailer, an industry member’s contribution shall not induce the retailer, directly or indirectly, to purchase any products from the industry member to the exclusion, in whole or in part, of products sold or offered for sale by other industry members at the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1003.14(3)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industry member shall keep and maintain records in accordance with rule </w:t>
      </w:r>
      <w:hyperlink r:id="rId51">
        <w:r>
          <w:rPr>
            <w:rStyle w:val="Hyperlink"/>
            <w:rFonts w:ascii="Times New Roman" w:hAnsi="Times New Roman"/>
            <w:b w:val="false"/>
            <w:i w:val="false"/>
            <w:color w:val="000000"/>
            <w:sz w:val="22"/>
          </w:rPr>
          <w:t>701—1003.16</w:t>
        </w:r>
      </w:hyperlink>
      <w:r>
        <w:rPr>
          <w:rFonts w:ascii="Times New Roman" w:hAnsi="Times New Roman"/>
          <w:b w:val="false"/>
          <w:i w:val="false"/>
          <w:color w:val="000000"/>
          <w:sz w:val="22"/>
        </w:rPr>
        <w:t>(123).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701—1003.15</w:t>
      </w:r>
      <w:r>
        <w:rPr>
          <w:rFonts w:ascii="Times New Roman" w:hAnsi="Times New Roman"/>
          <w:b/>
          <w:i w:val="false"/>
          <w:color w:val="000000"/>
          <w:sz w:val="22"/>
        </w:rPr>
        <w:t xml:space="preserve">(123) </w:t>
      </w:r>
      <w:r>
        <w:rPr>
          <w:rFonts w:ascii="Times New Roman" w:hAnsi="Times New Roman"/>
          <w:b/>
          <w:i w:val="false"/>
          <w:color w:val="000000"/>
          <w:sz w:val="22"/>
        </w:rPr>
        <w:t xml:space="preserve">Participation in educational seminars and retail association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1003.15(1)</w:t>
      </w:r>
      <w:r>
        <w:rPr>
          <w:rFonts w:ascii="Times New Roman" w:hAnsi="Times New Roman"/>
          <w:b w:val="false"/>
          <w:i w:val="false"/>
          <w:color w:val="000000"/>
          <w:sz w:val="22"/>
        </w:rPr>
        <w:t> </w:t>
      </w:r>
      <w:r>
        <w:rPr>
          <w:rFonts w:ascii="Times New Roman" w:hAnsi="Times New Roman"/>
          <w:b w:val="false"/>
          <w:i/>
          <w:color w:val="000000"/>
          <w:sz w:val="22"/>
        </w:rPr>
        <w:t xml:space="preserve">Educational seminars. </w:t>
      </w:r>
      <w:r>
        <w:rPr>
          <w:rFonts w:ascii="Times New Roman" w:hAnsi="Times New Roman"/>
          <w:b w:val="false"/>
          <w:i w:val="false"/>
          <w:color w:val="000000"/>
          <w:sz w:val="22"/>
        </w:rPr>
        <w:t>An industry member may give or sponsor educational seminars for employees of retailers either at the industry member’s premises or at the retail establishment regarding such topics as use of a retailer’s equipment, training seminars for employees of retailers, and tours of alcoholic beverages manufacturing facilities; however, an industry member is prohibited from paying a retailer’s expenses or compensating a retailer for attending such seminars and tours.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1003.15(2)</w:t>
      </w:r>
      <w:r>
        <w:rPr>
          <w:rFonts w:ascii="Times New Roman" w:hAnsi="Times New Roman"/>
          <w:b w:val="false"/>
          <w:i w:val="false"/>
          <w:color w:val="000000"/>
          <w:sz w:val="22"/>
        </w:rPr>
        <w:t> </w:t>
      </w:r>
      <w:r>
        <w:rPr>
          <w:rFonts w:ascii="Times New Roman" w:hAnsi="Times New Roman"/>
          <w:b w:val="false"/>
          <w:i/>
          <w:color w:val="000000"/>
          <w:sz w:val="22"/>
        </w:rPr>
        <w:t xml:space="preserve">Retail association activities. </w:t>
      </w:r>
      <w:r>
        <w:rPr>
          <w:rFonts w:ascii="Times New Roman" w:hAnsi="Times New Roman"/>
          <w:b w:val="false"/>
          <w:i w:val="false"/>
          <w:color w:val="000000"/>
          <w:sz w:val="22"/>
        </w:rPr>
        <w:t>An industry member may participate in retail association activities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Display its products at a trade show or convention.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Rent display booth space provided that the rental fee is not excessive and is the same paid by all exhibitors.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hospitality for the persons attending the trade show or convention. The hospitality provided by the industry member shall be independent from association-sponsored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Purchase tickets, attend functions, and pay registration fees, provided that such payments are not excessive and are the same paid by all exhibitors.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 for advertising in programs or brochures issued by retail associations at a convention or trade show, provided that the total payments made by an industry member do not exceed $300 per calendar year to any one retail association.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701—1003.16</w:t>
      </w:r>
      <w:r>
        <w:rPr>
          <w:rFonts w:ascii="Times New Roman" w:hAnsi="Times New Roman"/>
          <w:b/>
          <w:i w:val="false"/>
          <w:color w:val="000000"/>
          <w:sz w:val="22"/>
        </w:rPr>
        <w:t xml:space="preserve">(123)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1003.16(1)</w:t>
      </w:r>
      <w:r>
        <w:rPr>
          <w:rFonts w:ascii="Times New Roman" w:hAnsi="Times New Roman"/>
          <w:b w:val="false"/>
          <w:i w:val="false"/>
          <w:color w:val="000000"/>
          <w:sz w:val="22"/>
        </w:rPr>
        <w:t> </w:t>
      </w:r>
      <w:r>
        <w:rPr>
          <w:rFonts w:ascii="Times New Roman" w:hAnsi="Times New Roman"/>
          <w:b w:val="false"/>
          <w:i w:val="false"/>
          <w:color w:val="000000"/>
          <w:sz w:val="22"/>
        </w:rPr>
        <w:t>Industry members are required to keep and maintain accurate records for a three-year period regarding each of the items that may be provided to retailers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hyperlink r:id="rId55">
        <w:r>
          <w:rPr>
            <w:rStyle w:val="Hyperlink"/>
            <w:rFonts w:ascii="Times New Roman" w:hAnsi="Times New Roman"/>
            <w:b w:val="false"/>
            <w:i w:val="false"/>
            <w:color w:val="000000"/>
            <w:sz w:val="22"/>
          </w:rPr>
          <w:t>701—1003.2</w:t>
        </w:r>
      </w:hyperlink>
      <w:r>
        <w:rPr>
          <w:rFonts w:ascii="Times New Roman" w:hAnsi="Times New Roman"/>
          <w:b w:val="false"/>
          <w:i w:val="false"/>
          <w:color w:val="000000"/>
          <w:sz w:val="22"/>
        </w:rPr>
        <w:t>(123) (product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hyperlink r:id="rId56">
        <w:r>
          <w:rPr>
            <w:rStyle w:val="Hyperlink"/>
            <w:rFonts w:ascii="Times New Roman" w:hAnsi="Times New Roman"/>
            <w:b w:val="false"/>
            <w:i w:val="false"/>
            <w:color w:val="000000"/>
            <w:sz w:val="22"/>
          </w:rPr>
          <w:t>701—1003.3</w:t>
        </w:r>
      </w:hyperlink>
      <w:r>
        <w:rPr>
          <w:rFonts w:ascii="Times New Roman" w:hAnsi="Times New Roman"/>
          <w:b w:val="false"/>
          <w:i w:val="false"/>
          <w:color w:val="000000"/>
          <w:sz w:val="22"/>
        </w:rPr>
        <w:t>(123) (retailer advertising utensils, consumer advertising specialties, and retailer wearing apparel).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hyperlink r:id="rId57">
        <w:r>
          <w:rPr>
            <w:rStyle w:val="Hyperlink"/>
            <w:rFonts w:ascii="Times New Roman" w:hAnsi="Times New Roman"/>
            <w:b w:val="false"/>
            <w:i w:val="false"/>
            <w:color w:val="000000"/>
            <w:sz w:val="22"/>
          </w:rPr>
          <w:t>701—1003.4</w:t>
        </w:r>
      </w:hyperlink>
      <w:r>
        <w:rPr>
          <w:rFonts w:ascii="Times New Roman" w:hAnsi="Times New Roman"/>
          <w:b w:val="false"/>
          <w:i w:val="false"/>
          <w:color w:val="000000"/>
          <w:sz w:val="22"/>
        </w:rPr>
        <w:t>(123) (glassware).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hyperlink r:id="rId58">
        <w:r>
          <w:rPr>
            <w:rStyle w:val="Hyperlink"/>
            <w:rFonts w:ascii="Times New Roman" w:hAnsi="Times New Roman"/>
            <w:b w:val="false"/>
            <w:i w:val="false"/>
            <w:color w:val="000000"/>
            <w:sz w:val="22"/>
          </w:rPr>
          <w:t>701—1003.6</w:t>
        </w:r>
      </w:hyperlink>
      <w:r>
        <w:rPr>
          <w:rFonts w:ascii="Times New Roman" w:hAnsi="Times New Roman"/>
          <w:b w:val="false"/>
          <w:i w:val="false"/>
          <w:color w:val="000000"/>
          <w:sz w:val="22"/>
        </w:rPr>
        <w:t>(123) (tasting).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hyperlink r:id="rId59">
        <w:r>
          <w:rPr>
            <w:rStyle w:val="Hyperlink"/>
            <w:rFonts w:ascii="Times New Roman" w:hAnsi="Times New Roman"/>
            <w:b w:val="false"/>
            <w:i w:val="false"/>
            <w:color w:val="000000"/>
            <w:sz w:val="22"/>
          </w:rPr>
          <w:t>701—1003.7</w:t>
        </w:r>
      </w:hyperlink>
      <w:r>
        <w:rPr>
          <w:rFonts w:ascii="Times New Roman" w:hAnsi="Times New Roman"/>
          <w:b w:val="false"/>
          <w:i w:val="false"/>
          <w:color w:val="000000"/>
          <w:sz w:val="22"/>
        </w:rPr>
        <w:t>(123)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hyperlink r:id="rId60">
        <w:r>
          <w:rPr>
            <w:rStyle w:val="Hyperlink"/>
            <w:rFonts w:ascii="Times New Roman" w:hAnsi="Times New Roman"/>
            <w:b w:val="false"/>
            <w:i w:val="false"/>
            <w:color w:val="000000"/>
            <w:sz w:val="22"/>
          </w:rPr>
          <w:t>701—1003.8</w:t>
        </w:r>
      </w:hyperlink>
      <w:r>
        <w:rPr>
          <w:rFonts w:ascii="Times New Roman" w:hAnsi="Times New Roman"/>
          <w:b w:val="false"/>
          <w:i w:val="false"/>
          <w:color w:val="000000"/>
          <w:sz w:val="22"/>
        </w:rPr>
        <w:t>(123) (trade spending).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hyperlink r:id="rId61">
        <w:r>
          <w:rPr>
            <w:rStyle w:val="Hyperlink"/>
            <w:rFonts w:ascii="Times New Roman" w:hAnsi="Times New Roman"/>
            <w:b w:val="false"/>
            <w:i w:val="false"/>
            <w:color w:val="000000"/>
            <w:sz w:val="22"/>
          </w:rPr>
          <w:t>701—1003.14</w:t>
        </w:r>
      </w:hyperlink>
      <w:r>
        <w:rPr>
          <w:rFonts w:ascii="Times New Roman" w:hAnsi="Times New Roman"/>
          <w:b w:val="false"/>
          <w:i w:val="false"/>
          <w:color w:val="000000"/>
          <w:sz w:val="22"/>
        </w:rPr>
        <w:t>(123) (sponsorships and special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hyperlink r:id="rId62">
        <w:r>
          <w:rPr>
            <w:rStyle w:val="Hyperlink"/>
            <w:rFonts w:ascii="Times New Roman" w:hAnsi="Times New Roman"/>
            <w:b w:val="false"/>
            <w:i w:val="false"/>
            <w:color w:val="000000"/>
            <w:sz w:val="22"/>
          </w:rPr>
          <w:t>701—1003.15</w:t>
        </w:r>
      </w:hyperlink>
      <w:r>
        <w:rPr>
          <w:rFonts w:ascii="Times New Roman" w:hAnsi="Times New Roman"/>
          <w:b w:val="false"/>
          <w:i w:val="false"/>
          <w:color w:val="000000"/>
          <w:sz w:val="22"/>
        </w:rPr>
        <w:t>(123) (participation in educational seminars and retail association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1003.16(2)</w:t>
      </w:r>
      <w:r>
        <w:rPr>
          <w:rFonts w:ascii="Times New Roman" w:hAnsi="Times New Roman"/>
          <w:b w:val="false"/>
          <w:i w:val="false"/>
          <w:color w:val="000000"/>
          <w:sz w:val="22"/>
        </w:rPr>
        <w:t> </w:t>
      </w:r>
      <w:r>
        <w:rPr>
          <w:rFonts w:ascii="Times New Roman" w:hAnsi="Times New Roman"/>
          <w:b w:val="false"/>
          <w:i w:val="false"/>
          <w:color w:val="000000"/>
          <w:sz w:val="22"/>
        </w:rPr>
        <w:t>Records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retailer receiving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the item was furnished, sold, given, loaned, leased, or rented.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item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industry member’s laid-in cost of the item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charges to the retailer for the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1003.16(3)</w:t>
      </w:r>
      <w:r>
        <w:rPr>
          <w:rFonts w:ascii="Times New Roman" w:hAnsi="Times New Roman"/>
          <w:b w:val="false"/>
          <w:i w:val="false"/>
          <w:color w:val="000000"/>
          <w:sz w:val="22"/>
        </w:rPr>
        <w:t> </w:t>
      </w:r>
      <w:r>
        <w:rPr>
          <w:rFonts w:ascii="Times New Roman" w:hAnsi="Times New Roman"/>
          <w:b w:val="false"/>
          <w:i w:val="false"/>
          <w:color w:val="000000"/>
          <w:sz w:val="22"/>
        </w:rPr>
        <w:t>Commercial records or invoices may be used to satisfy the requirements of this rule provided all of the required information appears on the record or invoice.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1003.16(4)</w:t>
      </w:r>
      <w:r>
        <w:rPr>
          <w:rFonts w:ascii="Times New Roman" w:hAnsi="Times New Roman"/>
          <w:b w:val="false"/>
          <w:i w:val="false"/>
          <w:color w:val="000000"/>
          <w:sz w:val="22"/>
        </w:rPr>
        <w:t> </w:t>
      </w:r>
      <w:r>
        <w:rPr>
          <w:rFonts w:ascii="Times New Roman" w:hAnsi="Times New Roman"/>
          <w:b w:val="false"/>
          <w:i w:val="false"/>
          <w:color w:val="000000"/>
          <w:sz w:val="22"/>
        </w:rPr>
        <w:t>Records shall be open to representatives of the department during normal business hours of the industry member and may be subject to administrative subpoena issued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3">
        <w:r>
          <w:rPr>
            <w:rStyle w:val="Hyperlink"/>
            <w:rFonts w:ascii="Times New Roman" w:hAnsi="Times New Roman"/>
            <w:b w:val="false"/>
            <w:i w:val="false"/>
            <w:color w:val="000000"/>
            <w:sz w:val="22"/>
          </w:rPr>
          <w:t>123.33</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PART III</w:t>
      </w:r>
    </w:p>
    <w:p>
      <w:pPr>
        <w:spacing w:before="0" w:after="0"/>
        <w:ind w:left="120"/>
        <w:jc w:val="both"/>
      </w:pPr>
      <w:r>
        <w:rPr>
          <w:rFonts w:ascii="Times New Roman" w:hAnsi="Times New Roman"/>
          <w:b w:val="false"/>
          <w:i w:val="false"/>
          <w:color w:val="000000"/>
          <w:sz w:val="22"/>
        </w:rPr>
        <w:t>The rules in this part specify industry member practices that are a means to induce a retailer and that are prohibited. The rules apply to transactions between industry members and retailers.</w:t>
      </w:r>
    </w:p>
    <w:p>
      <w:pPr>
        <w:spacing w:before="0" w:after="0"/>
        <w:ind w:left="120"/>
        <w:jc w:val="both"/>
      </w:pPr>
      <w:r>
        <w:rPr>
          <w:rFonts w:ascii="Times New Roman" w:hAnsi="Times New Roman"/>
          <w:b/>
          <w:i w:val="false"/>
          <w:color w:val="000000"/>
          <w:sz w:val="22"/>
        </w:rPr>
        <w:t>701—1003.17</w:t>
      </w:r>
      <w:r>
        <w:rPr>
          <w:rFonts w:ascii="Times New Roman" w:hAnsi="Times New Roman"/>
          <w:b/>
          <w:i w:val="false"/>
          <w:color w:val="000000"/>
          <w:sz w:val="22"/>
        </w:rPr>
        <w:t xml:space="preserve">(123) </w:t>
      </w:r>
      <w:r>
        <w:rPr>
          <w:rFonts w:ascii="Times New Roman" w:hAnsi="Times New Roman"/>
          <w:b/>
          <w:i w:val="false"/>
          <w:color w:val="000000"/>
          <w:sz w:val="22"/>
        </w:rPr>
        <w:t xml:space="preserve">Equipment, furnishings, fixtures.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1003.17(1)</w:t>
      </w:r>
      <w:r>
        <w:rPr>
          <w:rFonts w:ascii="Times New Roman" w:hAnsi="Times New Roman"/>
          <w:b w:val="false"/>
          <w:i w:val="false"/>
          <w:color w:val="000000"/>
          <w:sz w:val="22"/>
        </w:rPr>
        <w:t> </w:t>
      </w:r>
      <w:r>
        <w:rPr>
          <w:rFonts w:ascii="Times New Roman" w:hAnsi="Times New Roman"/>
          <w:b w:val="false"/>
          <w:i w:val="false"/>
          <w:color w:val="000000"/>
          <w:sz w:val="22"/>
        </w:rPr>
        <w:t>An industry member is prohibited from directly or indirectly giving, selling, renting, or lending equipment, furnishings or fixtures to a retailer for use by the retailer or in the retail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1003.17(2)</w:t>
      </w:r>
      <w:r>
        <w:rPr>
          <w:rFonts w:ascii="Times New Roman" w:hAnsi="Times New Roman"/>
          <w:b w:val="false"/>
          <w:i w:val="false"/>
          <w:color w:val="000000"/>
          <w:sz w:val="22"/>
        </w:rPr>
        <w:t> </w:t>
      </w:r>
      <w:r>
        <w:rPr>
          <w:rFonts w:ascii="Times New Roman" w:hAnsi="Times New Roman"/>
          <w:b w:val="false"/>
          <w:i w:val="false"/>
          <w:color w:val="000000"/>
          <w:sz w:val="22"/>
        </w:rPr>
        <w:t>A prohibited indirect inducement includes but is not limited to obtaining equipment, furnishings, or fixtures for a retailer through a third-party arrangement where the resulting benefits flow to an individual retailer.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701—1003.18</w:t>
      </w:r>
      <w:r>
        <w:rPr>
          <w:rFonts w:ascii="Times New Roman" w:hAnsi="Times New Roman"/>
          <w:b/>
          <w:i w:val="false"/>
          <w:color w:val="000000"/>
          <w:sz w:val="22"/>
        </w:rPr>
        <w:t xml:space="preserve">(123) </w:t>
      </w:r>
      <w:r>
        <w:rPr>
          <w:rFonts w:ascii="Times New Roman" w:hAnsi="Times New Roman"/>
          <w:b/>
          <w:i w:val="false"/>
          <w:color w:val="000000"/>
          <w:sz w:val="22"/>
        </w:rPr>
        <w:t xml:space="preserve">Free warehousing prohibited. </w:t>
      </w:r>
      <w:r>
        <w:rPr>
          <w:rFonts w:ascii="Times New Roman" w:hAnsi="Times New Roman"/>
          <w:b w:val="false"/>
          <w:i w:val="false"/>
          <w:color w:val="000000"/>
          <w:sz w:val="22"/>
        </w:rPr>
        <w:t>An industry member is prohibited, directly or indirectly, from providing free warehousing of products for a retailer by delaying delivery of alcoholic liquor, wine, or beer beyond the time that payment for the product is received or, if a retailer is purchasing on credit, delaying final delivery of products beyond the close of the period of time for which credit is lawfully extended.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701—1003.19</w:t>
      </w:r>
      <w:r>
        <w:rPr>
          <w:rFonts w:ascii="Times New Roman" w:hAnsi="Times New Roman"/>
          <w:b/>
          <w:i w:val="false"/>
          <w:color w:val="000000"/>
          <w:sz w:val="22"/>
        </w:rPr>
        <w:t xml:space="preserve">(123) </w:t>
      </w:r>
      <w:r>
        <w:rPr>
          <w:rFonts w:ascii="Times New Roman" w:hAnsi="Times New Roman"/>
          <w:b/>
          <w:i w:val="false"/>
          <w:color w:val="000000"/>
          <w:sz w:val="22"/>
        </w:rPr>
        <w:t xml:space="preserve">Extension of credit and prepaid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1003.19(1)</w:t>
      </w:r>
      <w:r>
        <w:rPr>
          <w:rFonts w:ascii="Times New Roman" w:hAnsi="Times New Roman"/>
          <w:b w:val="false"/>
          <w:i w:val="false"/>
          <w:color w:val="000000"/>
          <w:sz w:val="22"/>
        </w:rPr>
        <w:t> </w:t>
      </w:r>
      <w:r>
        <w:rPr>
          <w:rFonts w:ascii="Times New Roman" w:hAnsi="Times New Roman"/>
          <w:b w:val="false"/>
          <w:i/>
          <w:color w:val="000000"/>
          <w:sz w:val="22"/>
        </w:rPr>
        <w:t xml:space="preserve">Extension of credit. </w:t>
      </w:r>
      <w:r>
        <w:rPr>
          <w:rFonts w:ascii="Times New Roman" w:hAnsi="Times New Roman"/>
          <w:b w:val="false"/>
          <w:i w:val="false"/>
          <w:color w:val="000000"/>
          <w:sz w:val="22"/>
        </w:rPr>
        <w:t>An industry member is prohibited from extending credit on the sale of alcoholic liquor or beer to a retailer. An industry member may extend credit to a retailer on the sale of wine for not more than 30 days from the date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1003.19(2)</w:t>
      </w:r>
      <w:r>
        <w:rPr>
          <w:rFonts w:ascii="Times New Roman" w:hAnsi="Times New Roman"/>
          <w:b w:val="false"/>
          <w:i w:val="false"/>
          <w:color w:val="000000"/>
          <w:sz w:val="22"/>
        </w:rPr>
        <w:t> </w:t>
      </w:r>
      <w:r>
        <w:rPr>
          <w:rFonts w:ascii="Times New Roman" w:hAnsi="Times New Roman"/>
          <w:b w:val="false"/>
          <w:i/>
          <w:color w:val="000000"/>
          <w:sz w:val="22"/>
        </w:rPr>
        <w:t xml:space="preserve">Prepaid accounts.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establish prepaid accounts in which retailers deposit a sum of money to pay for future purchases of alcoholic beverages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may not hold the money deposited in a prepaid account for future payment of a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industry member shall transfer the amount of the invoice from the retailer’s prepaid account each time that the industry member makes a sale and a delivery to the retail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industry member is not required to establish separate escrow accounts for prepaid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industry member is responsible for accurately and honestly accounting for the funds held in a prepaid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retailer may withdraw the money placed in a prepaid account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industry member is prohibited from utilizing prepaid accounts to require a retailer to purchase any quota of alcoholic liquor, wine, or beer.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9">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123.181(2)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701—1003.20</w:t>
      </w:r>
      <w:r>
        <w:rPr>
          <w:rFonts w:ascii="Times New Roman" w:hAnsi="Times New Roman"/>
          <w:b/>
          <w:i w:val="false"/>
          <w:color w:val="000000"/>
          <w:sz w:val="22"/>
        </w:rPr>
        <w:t xml:space="preserve">(123) </w:t>
      </w:r>
      <w:r>
        <w:rPr>
          <w:rFonts w:ascii="Times New Roman" w:hAnsi="Times New Roman"/>
          <w:b/>
          <w:i w:val="false"/>
          <w:color w:val="000000"/>
          <w:sz w:val="22"/>
        </w:rPr>
        <w:t xml:space="preserve">Quota sales. </w:t>
      </w:r>
      <w:r>
        <w:rPr>
          <w:rFonts w:ascii="Times New Roman" w:hAnsi="Times New Roman"/>
          <w:b w:val="false"/>
          <w:i w:val="false"/>
          <w:color w:val="000000"/>
          <w:sz w:val="22"/>
        </w:rPr>
        <w:t>An industry member is prohibited from requiring a retailer to purchase and sell any quota of alcoholic liquor, wine or beer.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1">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701—1003.21</w:t>
      </w:r>
      <w:r>
        <w:rPr>
          <w:rFonts w:ascii="Times New Roman" w:hAnsi="Times New Roman"/>
          <w:b/>
          <w:i w:val="false"/>
          <w:color w:val="000000"/>
          <w:sz w:val="22"/>
        </w:rPr>
        <w:t xml:space="preserve">(123) </w:t>
      </w:r>
      <w:r>
        <w:rPr>
          <w:rFonts w:ascii="Times New Roman" w:hAnsi="Times New Roman"/>
          <w:b/>
          <w:i w:val="false"/>
          <w:color w:val="000000"/>
          <w:sz w:val="22"/>
        </w:rPr>
        <w:t xml:space="preserve">Tie-in sales. </w:t>
      </w:r>
      <w:r>
        <w:rPr>
          <w:rFonts w:ascii="Times New Roman" w:hAnsi="Times New Roman"/>
          <w:b w:val="false"/>
          <w:i w:val="false"/>
          <w:color w:val="000000"/>
          <w:sz w:val="22"/>
        </w:rPr>
        <w:t>An industry member is prohibited from requiring a retailer to purchase one product in order to purchase another. This prohibition includes combination sales if one or more products may be purchased only in combination with other products and not individually. However, an industry member is not prohibited from selling at a special combination price, two or more kinds or brands of products to a retailer, provided that the retailer has the option of purchasing either product at the usual price, and the retailer is not required to purchase any product not wanted by the retailer.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PART IV</w:t>
      </w:r>
    </w:p>
    <w:p>
      <w:pPr>
        <w:spacing w:before="0" w:after="0"/>
        <w:ind w:left="120"/>
        <w:jc w:val="both"/>
      </w:pPr>
      <w:r>
        <w:rPr>
          <w:rFonts w:ascii="Times New Roman" w:hAnsi="Times New Roman"/>
          <w:b w:val="false"/>
          <w:i w:val="false"/>
          <w:color w:val="000000"/>
          <w:sz w:val="22"/>
        </w:rPr>
        <w:t>The rule in this part specifies that exclusive outlet arrangements with retailers are prohibited. The rule applies to transactions between industry members and retailers.</w:t>
      </w:r>
    </w:p>
    <w:p>
      <w:pPr>
        <w:spacing w:before="0" w:after="0"/>
        <w:ind w:left="120"/>
        <w:jc w:val="both"/>
      </w:pPr>
      <w:r>
        <w:rPr>
          <w:rFonts w:ascii="Times New Roman" w:hAnsi="Times New Roman"/>
          <w:b/>
          <w:i w:val="false"/>
          <w:color w:val="000000"/>
          <w:sz w:val="22"/>
        </w:rPr>
        <w:t>701—1003.22</w:t>
      </w:r>
      <w:r>
        <w:rPr>
          <w:rFonts w:ascii="Times New Roman" w:hAnsi="Times New Roman"/>
          <w:b/>
          <w:i w:val="false"/>
          <w:color w:val="000000"/>
          <w:sz w:val="22"/>
        </w:rPr>
        <w:t xml:space="preserve">(123) </w:t>
      </w:r>
      <w:r>
        <w:rPr>
          <w:rFonts w:ascii="Times New Roman" w:hAnsi="Times New Roman"/>
          <w:b/>
          <w:i w:val="false"/>
          <w:color w:val="000000"/>
          <w:sz w:val="22"/>
        </w:rPr>
        <w:t xml:space="preserve">Contracts to purchase alcoholic liquor, wine, or beer.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1003.22(1)</w:t>
      </w:r>
      <w:r>
        <w:rPr>
          <w:rFonts w:ascii="Times New Roman" w:hAnsi="Times New Roman"/>
          <w:b w:val="false"/>
          <w:i w:val="false"/>
          <w:color w:val="000000"/>
          <w:sz w:val="22"/>
        </w:rPr>
        <w:t> </w:t>
      </w:r>
      <w:r>
        <w:rPr>
          <w:rFonts w:ascii="Times New Roman" w:hAnsi="Times New Roman"/>
          <w:b w:val="false"/>
          <w:i/>
          <w:color w:val="000000"/>
          <w:sz w:val="22"/>
        </w:rPr>
        <w:t xml:space="preserve">Implied or express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contract or agreement, written or unwritten, that has the effect of requiring the retailer to purchase alcoholic liquor, wine, or beer from the industry member beyond a single sales transaction is prohibited, except as provided in paragraph </w:t>
      </w:r>
      <w:r>
        <w:rPr>
          <w:rFonts w:ascii="Times New Roman" w:hAnsi="Times New Roman"/>
          <w:b w:val="false"/>
          <w:i w:val="false"/>
          <w:color w:val="000000"/>
          <w:sz w:val="22"/>
        </w:rPr>
        <w:t>1003.22(1)</w:t>
      </w:r>
      <w:r>
        <w:rPr>
          <w:rFonts w:ascii="Times New Roman" w:hAnsi="Times New Roman"/>
          <w:b w:val="false"/>
          <w:i/>
          <w:color w:val="000000"/>
          <w:sz w:val="22"/>
        </w:rPr>
        <w:t>“b.”</w:t>
      </w:r>
      <w:r>
        <w:rPr>
          <w:rFonts w:ascii="Times New Roman" w:hAnsi="Times New Roman"/>
          <w:b w:val="false"/>
          <w:i w:val="false"/>
          <w:color w:val="000000"/>
          <w:sz w:val="22"/>
        </w:rPr>
        <w:t xml:space="preserve"> Examples of such contracts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advertising contract between an industry member and a retailer with the express or implied requirement of the purchase of the advertiser’s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sales contract awarded on a competitive bid basis that has the effect of prohibiting the retailer from purchasing from other industry members by requiring that, for the period of the agreement, the retailer purchase a product or line of products exclusively from the industry member or requiring that the retailer purchase a specific or minimum quantity during the period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industry member and a retailer may enter into a supply contract for one year or less under which the industry member agrees to sell alcoholic liquor, wine, or beer to the retailer on an “as needed” basis provided that the retailer is not required to purchase any minimum quantity of such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1003.22(2)</w:t>
      </w:r>
      <w:r>
        <w:rPr>
          <w:rFonts w:ascii="Times New Roman" w:hAnsi="Times New Roman"/>
          <w:b w:val="false"/>
          <w:i w:val="false"/>
          <w:color w:val="000000"/>
          <w:sz w:val="22"/>
        </w:rPr>
        <w:t> </w:t>
      </w:r>
      <w:r>
        <w:rPr>
          <w:rFonts w:ascii="Times New Roman" w:hAnsi="Times New Roman"/>
          <w:b w:val="false"/>
          <w:i/>
          <w:color w:val="000000"/>
          <w:sz w:val="22"/>
        </w:rPr>
        <w:t xml:space="preserve">Third-party arrangements.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Industry member requirements, by agreement or otherwise, with nonretailers that result in a retailer’s being required to purchase the industry member’s products are prohibited, regardless of whether the agreement or other arrangement originates with the industry member or the third party.</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 supplier enters into a contractual agreement or other arrangement with a third party. This agreement or arrangement contains an industry member requirement as described above. The third party—a ballclub or municipal or private corporation not acting as retailer—leases the concession rights and is able to control the purchasing decisions of the retailer. The third party, as a result of the requirement, by agreement or otherwise, with the industry member, requires the retailer to purchase the industry member’s products to the exclusion, in whole or in part, of products sold or offered for sale by other industry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Prohibited business arrangements between an industry member and a third party may consist of such things as sponsoring radio or television broadcasting, paying for advertising, or providing other services or things of value.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5">
        <w:r>
          <w:rPr>
            <w:rStyle w:val="Hyperlink"/>
            <w:rFonts w:ascii="Times New Roman" w:hAnsi="Times New Roman"/>
            <w:b w:val="false"/>
            <w:i w:val="false"/>
            <w:color w:val="000000"/>
            <w:sz w:val="22"/>
          </w:rPr>
          <w:t>123.45</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PART V</w:t>
      </w:r>
    </w:p>
    <w:p>
      <w:pPr>
        <w:spacing w:before="0" w:after="0"/>
        <w:ind w:left="120"/>
        <w:jc w:val="both"/>
      </w:pPr>
      <w:r>
        <w:rPr>
          <w:rFonts w:ascii="Times New Roman" w:hAnsi="Times New Roman"/>
          <w:b w:val="false"/>
          <w:i w:val="false"/>
          <w:color w:val="000000"/>
          <w:sz w:val="22"/>
        </w:rPr>
        <w:t>The rule in this part specifies industry member practices that are a means to induce a retailer and that are prohibited. The rule applies to transactions between industry members and employees, officers, or representatives of retailers.</w:t>
      </w:r>
    </w:p>
    <w:p>
      <w:pPr>
        <w:spacing w:before="0" w:after="0"/>
        <w:ind w:left="120"/>
        <w:jc w:val="both"/>
      </w:pPr>
      <w:r>
        <w:rPr>
          <w:rFonts w:ascii="Times New Roman" w:hAnsi="Times New Roman"/>
          <w:b/>
          <w:i w:val="false"/>
          <w:color w:val="000000"/>
          <w:sz w:val="22"/>
        </w:rPr>
        <w:t>701—1003.23</w:t>
      </w:r>
      <w:r>
        <w:rPr>
          <w:rFonts w:ascii="Times New Roman" w:hAnsi="Times New Roman"/>
          <w:b/>
          <w:i w:val="false"/>
          <w:color w:val="000000"/>
          <w:sz w:val="22"/>
        </w:rPr>
        <w:t xml:space="preserve">(123) </w:t>
      </w:r>
      <w:r>
        <w:rPr>
          <w:rFonts w:ascii="Times New Roman" w:hAnsi="Times New Roman"/>
          <w:b/>
          <w:i w:val="false"/>
          <w:color w:val="000000"/>
          <w:sz w:val="22"/>
        </w:rPr>
        <w:t xml:space="preserve">Commercial bribery. </w:t>
      </w:r>
      <w:r>
        <w:rPr>
          <w:rFonts w:ascii="Times New Roman" w:hAnsi="Times New Roman"/>
          <w:b w:val="false"/>
          <w:i w:val="false"/>
          <w:color w:val="000000"/>
          <w:sz w:val="22"/>
        </w:rPr>
        <w:t>An industry member is prohibited from offering or giving a retailer free trips, bonuses or prizes based on sales of the industry member’s alcoholic beverages products.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PART VI</w:t>
      </w:r>
    </w:p>
    <w:p>
      <w:pPr>
        <w:spacing w:before="0" w:after="0"/>
        <w:ind w:left="120"/>
        <w:jc w:val="both"/>
      </w:pPr>
      <w:r>
        <w:rPr>
          <w:rFonts w:ascii="Times New Roman" w:hAnsi="Times New Roman"/>
          <w:b w:val="false"/>
          <w:i w:val="false"/>
          <w:color w:val="000000"/>
          <w:sz w:val="22"/>
        </w:rPr>
        <w:t>The rules in this part specify sales arrangements that are prohibited. The rules apply to transactions between industry members and trade buyers.</w:t>
      </w:r>
    </w:p>
    <w:p>
      <w:pPr>
        <w:spacing w:before="0" w:after="0"/>
        <w:ind w:left="120"/>
        <w:jc w:val="both"/>
      </w:pPr>
      <w:r>
        <w:rPr>
          <w:rFonts w:ascii="Times New Roman" w:hAnsi="Times New Roman"/>
          <w:b/>
          <w:i w:val="false"/>
          <w:color w:val="000000"/>
          <w:sz w:val="22"/>
        </w:rPr>
        <w:t>701—1003.24</w:t>
      </w:r>
      <w:r>
        <w:rPr>
          <w:rFonts w:ascii="Times New Roman" w:hAnsi="Times New Roman"/>
          <w:b/>
          <w:i w:val="false"/>
          <w:color w:val="000000"/>
          <w:sz w:val="22"/>
        </w:rPr>
        <w:t xml:space="preserve">(123) </w:t>
      </w:r>
      <w:r>
        <w:rPr>
          <w:rFonts w:ascii="Times New Roman" w:hAnsi="Times New Roman"/>
          <w:b/>
          <w:i w:val="false"/>
          <w:color w:val="000000"/>
          <w:sz w:val="22"/>
        </w:rPr>
        <w:t xml:space="preserve">Consignment sales. </w:t>
      </w:r>
      <w:r>
        <w:rPr>
          <w:rFonts w:ascii="Times New Roman" w:hAnsi="Times New Roman"/>
          <w:b w:val="false"/>
          <w:i w:val="false"/>
          <w:color w:val="000000"/>
          <w:sz w:val="22"/>
        </w:rPr>
        <w:t>An industry member is prohibited from selling alcoholic liquor, wine, or beer to a retailer on consignment. Consignment means a sale under which the retailer is not obligated to pay for the alcoholic liquor, wine, or beer, until the product is sold by the retailer.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701—1003.25</w:t>
      </w:r>
      <w:r>
        <w:rPr>
          <w:rFonts w:ascii="Times New Roman" w:hAnsi="Times New Roman"/>
          <w:b/>
          <w:i w:val="false"/>
          <w:color w:val="000000"/>
          <w:sz w:val="22"/>
        </w:rPr>
        <w:t xml:space="preserve">(123) </w:t>
      </w:r>
      <w:r>
        <w:rPr>
          <w:rFonts w:ascii="Times New Roman" w:hAnsi="Times New Roman"/>
          <w:b/>
          <w:i w:val="false"/>
          <w:color w:val="000000"/>
          <w:sz w:val="22"/>
        </w:rPr>
        <w:t xml:space="preserve">Return of alcoholic liquor, wine, and beer. </w:t>
      </w:r>
      <w:r>
        <w:rPr>
          <w:rFonts w:ascii="Times New Roman" w:hAnsi="Times New Roman"/>
          <w:b w:val="false"/>
          <w:i w:val="false"/>
          <w:color w:val="000000"/>
          <w:sz w:val="22"/>
        </w:rPr>
        <w:t>An industry member may accept the return of alcoholic liquor, wine, and beer for ordinary and usual commercial reasons but is not obligated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1003.25(1)</w:t>
      </w:r>
      <w:r>
        <w:rPr>
          <w:rFonts w:ascii="Times New Roman" w:hAnsi="Times New Roman"/>
          <w:b w:val="false"/>
          <w:i w:val="false"/>
          <w:color w:val="000000"/>
          <w:sz w:val="22"/>
        </w:rPr>
        <w:t> </w:t>
      </w:r>
      <w:r>
        <w:rPr>
          <w:rFonts w:ascii="Times New Roman" w:hAnsi="Times New Roman"/>
          <w:b w:val="false"/>
          <w:i/>
          <w:color w:val="000000"/>
          <w:sz w:val="22"/>
        </w:rPr>
        <w:t xml:space="preserve">Ordinary and usual commercial reasons for exchanges and returns.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Defective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Products that are unmarketable because of product deterioration, leaking containers, damaged labels, or missing or mutilated tamper-evident closures may be exchanged for an equal quantity of identical products or may be returned for cash or credit against outstanding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Freshness dating. An industry member may accept a return of beer for cash or credit against outstanding indebtedness or exchange the beer for freshness reasons provided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manufacturer of the beer has policies and procedures in place that specify the date the retailer must pull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industry member’s freshness return/exchange policies and procedures are readily verifiable and consistently followed by the industry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beer container has identifying markings that correspond with the pull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beer product pulled by the trade buyer may not reenter the retail marketplace.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Error in products delivered. </w:t>
      </w:r>
      <w:r>
        <w:rPr>
          <w:rFonts w:ascii="Times New Roman" w:hAnsi="Times New Roman"/>
          <w:b w:val="false"/>
          <w:i w:val="false"/>
          <w:color w:val="000000"/>
          <w:sz w:val="22"/>
        </w:rPr>
        <w:t>Any discrepancy between products ordered and products delivered may be corrected, within a reasonable period after delivery, by exchange of the products delivered for those that were ordered, or by a return for cash or credit against outstanding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Products that may no longer be lawfully sold. </w:t>
      </w:r>
      <w:r>
        <w:rPr>
          <w:rFonts w:ascii="Times New Roman" w:hAnsi="Times New Roman"/>
          <w:b w:val="false"/>
          <w:i w:val="false"/>
          <w:color w:val="000000"/>
          <w:sz w:val="22"/>
        </w:rPr>
        <w:t>Products that may no longer be lawfully sold may be returned for cash or credit against outstanding indebtedness. This would include situations where, due to a change in regulation or administrative procedure over which the trade buyer or an affiliate of the trade buyer has no control, a particular size or brand is no longer permitted to be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Termination of business. </w:t>
      </w:r>
      <w:r>
        <w:rPr>
          <w:rFonts w:ascii="Times New Roman" w:hAnsi="Times New Roman"/>
          <w:b w:val="false"/>
          <w:i w:val="false"/>
          <w:color w:val="000000"/>
          <w:sz w:val="22"/>
        </w:rPr>
        <w:t>Products on hand at the time a trade buyer terminates operations via cancellation of the trade buyer’s license or permit may be returned for cash or credit against outstanding indebtedness. This does not include the temporary seasonal shutdown of a trade buyer holding a 12-month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Termination of franchise. </w:t>
      </w:r>
      <w:r>
        <w:rPr>
          <w:rFonts w:ascii="Times New Roman" w:hAnsi="Times New Roman"/>
          <w:b w:val="false"/>
          <w:i w:val="false"/>
          <w:color w:val="000000"/>
          <w:sz w:val="22"/>
        </w:rPr>
        <w:t>When an industry member has sold products for cash or credit to one of its wholesalers and the distributorship arrangement is subsequently terminated, stocks of the product on hand may be returned for cash or credit against outstanding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Change in product. </w:t>
      </w:r>
      <w:r>
        <w:rPr>
          <w:rFonts w:ascii="Times New Roman" w:hAnsi="Times New Roman"/>
          <w:b w:val="false"/>
          <w:i w:val="false"/>
          <w:color w:val="000000"/>
          <w:sz w:val="22"/>
        </w:rPr>
        <w:t xml:space="preserve">Except as provided in paragraph </w:t>
      </w:r>
      <w:r>
        <w:rPr>
          <w:rFonts w:ascii="Times New Roman" w:hAnsi="Times New Roman"/>
          <w:b w:val="false"/>
          <w:i w:val="false"/>
          <w:color w:val="000000"/>
          <w:sz w:val="22"/>
        </w:rPr>
        <w:t>1003.25(2)</w:t>
      </w:r>
      <w:r>
        <w:rPr>
          <w:rFonts w:ascii="Times New Roman" w:hAnsi="Times New Roman"/>
          <w:b w:val="false"/>
          <w:i/>
          <w:color w:val="000000"/>
          <w:sz w:val="22"/>
        </w:rPr>
        <w:t>“b,”</w:t>
      </w:r>
      <w:r>
        <w:rPr>
          <w:rFonts w:ascii="Times New Roman" w:hAnsi="Times New Roman"/>
          <w:b w:val="false"/>
          <w:i w:val="false"/>
          <w:color w:val="000000"/>
          <w:sz w:val="22"/>
        </w:rPr>
        <w:t xml:space="preserve"> a trade buyer’s inventory of a product that has been changed in formula, proof, label, or container may be exchanged for equal quantities of the new version of that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Discontinued products. </w:t>
      </w:r>
      <w:r>
        <w:rPr>
          <w:rFonts w:ascii="Times New Roman" w:hAnsi="Times New Roman"/>
          <w:b w:val="false"/>
          <w:i w:val="false"/>
          <w:color w:val="000000"/>
          <w:sz w:val="22"/>
        </w:rPr>
        <w:t>When a producer or importer discontinues the production or importation of a product, a trade buyer’s inventory of that product may be returned for cash or credit against outstanding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Seasonal dealers. </w:t>
      </w:r>
      <w:r>
        <w:rPr>
          <w:rFonts w:ascii="Times New Roman" w:hAnsi="Times New Roman"/>
          <w:b w:val="false"/>
          <w:i w:val="false"/>
          <w:color w:val="000000"/>
          <w:sz w:val="22"/>
        </w:rPr>
        <w:t>Industry members may accept the return of products from retailers holding an eight-month seasonal license or permit upon cancellation of the license or permit. These returns shall be for cash or for credit against outstanding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1003.25(2)</w:t>
      </w:r>
      <w:r>
        <w:rPr>
          <w:rFonts w:ascii="Times New Roman" w:hAnsi="Times New Roman"/>
          <w:b w:val="false"/>
          <w:i w:val="false"/>
          <w:color w:val="000000"/>
          <w:sz w:val="22"/>
        </w:rPr>
        <w:t> </w:t>
      </w:r>
      <w:r>
        <w:rPr>
          <w:rFonts w:ascii="Times New Roman" w:hAnsi="Times New Roman"/>
          <w:b w:val="false"/>
          <w:i/>
          <w:color w:val="000000"/>
          <w:sz w:val="22"/>
        </w:rPr>
        <w:t xml:space="preserve">Reasons not considered ordinary and usual. </w:t>
      </w:r>
      <w:r>
        <w:rPr>
          <w:rFonts w:ascii="Times New Roman" w:hAnsi="Times New Roman"/>
          <w:b w:val="false"/>
          <w:i w:val="false"/>
          <w:color w:val="000000"/>
          <w:sz w:val="22"/>
        </w:rPr>
        <w:t>The following are not considered ordinary and usual commercial reasons for exchanges and returns. Exchanges and returns for these reasons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Overstocked or slow-moving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Products for which there is only a limited or seasonal demand.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123.186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PART VII</w:t>
      </w:r>
    </w:p>
    <w:p>
      <w:pPr>
        <w:spacing w:before="0" w:after="0"/>
        <w:ind w:left="120"/>
        <w:jc w:val="both"/>
      </w:pPr>
      <w:r>
        <w:rPr>
          <w:rFonts w:ascii="Times New Roman" w:hAnsi="Times New Roman"/>
          <w:b w:val="false"/>
          <w:i w:val="false"/>
          <w:color w:val="000000"/>
          <w:sz w:val="22"/>
        </w:rPr>
        <w:t>The rule in this part governs violations of rules within this chapter.</w:t>
      </w:r>
    </w:p>
    <w:p>
      <w:pPr>
        <w:spacing w:before="0" w:after="0"/>
        <w:ind w:left="120"/>
        <w:jc w:val="both"/>
      </w:pPr>
      <w:r>
        <w:rPr>
          <w:rFonts w:ascii="Times New Roman" w:hAnsi="Times New Roman"/>
          <w:b/>
          <w:i w:val="false"/>
          <w:color w:val="000000"/>
          <w:sz w:val="22"/>
        </w:rPr>
        <w:t>701—1003.26</w:t>
      </w:r>
      <w:r>
        <w:rPr>
          <w:rFonts w:ascii="Times New Roman" w:hAnsi="Times New Roman"/>
          <w:b/>
          <w:i w:val="false"/>
          <w:color w:val="000000"/>
          <w:sz w:val="22"/>
        </w:rPr>
        <w:t xml:space="preserve">(123) </w:t>
      </w:r>
      <w:r>
        <w:rPr>
          <w:rFonts w:ascii="Times New Roman" w:hAnsi="Times New Roman"/>
          <w:b/>
          <w:i w:val="false"/>
          <w:color w:val="000000"/>
          <w:sz w:val="22"/>
        </w:rPr>
        <w:t xml:space="preserve">Contested case—burden. </w:t>
      </w:r>
      <w:r>
        <w:rPr>
          <w:rFonts w:ascii="Times New Roman" w:hAnsi="Times New Roman"/>
          <w:b w:val="false"/>
          <w:i w:val="false"/>
          <w:color w:val="000000"/>
          <w:sz w:val="22"/>
        </w:rPr>
        <w:t>In any contested case alleging a violation of this chapter, the burden of demonstrating compliance with the lawful requirements for retention of the license or permit or certificate of compliance shall be placed on the licensee, permittee, or certificate of compliance holder.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9088C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17A.18(3)</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123.39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9088C</w:t>
      </w:r>
      <w:r>
        <w:rPr>
          <w:rFonts w:ascii="Times New Roman" w:hAnsi="Times New Roman"/>
          <w:b w:val="false"/>
          <w:i w:val="false"/>
          <w:color w:val="000000"/>
          <w:sz w:val="21"/>
        </w:rPr>
        <w:t xml:space="preserve"> (Notice ARC 8723C, IAB 2/5/25)</w:t>
      </w:r>
      <w:r>
        <w:rPr>
          <w:rFonts w:ascii="Times New Roman" w:hAnsi="Times New Roman"/>
          <w:b w:val="false"/>
          <w:i w:val="false"/>
          <w:color w:val="000000"/>
          <w:sz w:val="21"/>
        </w:rPr>
        <w:t>, IAB 4/2/25, effective 5/7/25]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3.186.pdf" Type="http://schemas.openxmlformats.org/officeDocument/2006/relationships/hyperlink" Id="rId5"/>
    <Relationship TargetMode="External" Target="https://www.legis.iowa.gov/docs/ico/chapter/123.3.pdf" Type="http://schemas.openxmlformats.org/officeDocument/2006/relationships/hyperlink" Id="rId6"/>
    <Relationship TargetMode="External" Target="https://www.legis.iowa.gov/docs/ico/chapter/123.3.pdf" Type="http://schemas.openxmlformats.org/officeDocument/2006/relationships/hyperlink" Id="rId7"/>
    <Relationship TargetMode="External" Target="https://www.legis.iowa.gov/docs/ico/chapter/123.3.pdf" Type="http://schemas.openxmlformats.org/officeDocument/2006/relationships/hyperlink" Id="rId8"/>
    <Relationship TargetMode="External" Target="https://www.legis.iowa.gov/docs/ico/chapter/123.3.pdf" Type="http://schemas.openxmlformats.org/officeDocument/2006/relationships/hyperlink" Id="rId9"/>
    <Relationship TargetMode="External" Target="https://www.legis.iowa.gov/docs/ico/chapter/123.3.pdf" Type="http://schemas.openxmlformats.org/officeDocument/2006/relationships/hyperlink" Id="rId10"/>
    <Relationship TargetMode="External" Target="https://www.legis.iowa.gov/docs/iac/rule/701.1003.4.pdf" Type="http://schemas.openxmlformats.org/officeDocument/2006/relationships/hyperlink" Id="rId11"/>
    <Relationship TargetMode="External" Target="https://www.legis.iowa.gov/docs/iac/rule/701.1003.2.pdf" Type="http://schemas.openxmlformats.org/officeDocument/2006/relationships/hyperlink" Id="rId12"/>
    <Relationship TargetMode="External" Target="https://www.legis.iowa.gov/docs/iac/rule/701.1003.4.pdf" Type="http://schemas.openxmlformats.org/officeDocument/2006/relationships/hyperlink" Id="rId13"/>
    <Relationship TargetMode="External" Target="https://www.legis.iowa.gov/docs/iac/rule/701.1003.5.pdf" Type="http://schemas.openxmlformats.org/officeDocument/2006/relationships/hyperlink" Id="rId14"/>
    <Relationship TargetMode="External" Target="https://www.legis.iowa.gov/docs/iac/rule/701.1003.6.pdf" Type="http://schemas.openxmlformats.org/officeDocument/2006/relationships/hyperlink" Id="rId15"/>
    <Relationship TargetMode="External" Target="https://www.legis.iowa.gov/docs/ico/chapter/123.3.pdf" Type="http://schemas.openxmlformats.org/officeDocument/2006/relationships/hyperlink" Id="rId16"/>
    <Relationship TargetMode="External" Target="https://www.legis.iowa.gov/docs/ico/chapter/123.pdf" Type="http://schemas.openxmlformats.org/officeDocument/2006/relationships/hyperlink" Id="rId17"/>
    <Relationship TargetMode="External" Target="https://www.legis.iowa.gov/docs/ico/chapter/123.3.pdf" Type="http://schemas.openxmlformats.org/officeDocument/2006/relationships/hyperlink" Id="rId18"/>
    <Relationship TargetMode="External" Target="https://www.legis.iowa.gov/docs/ico/chapter/123.3.pdf" Type="http://schemas.openxmlformats.org/officeDocument/2006/relationships/hyperlink" Id="rId19"/>
    <Relationship TargetMode="External" Target="https://www.legis.iowa.gov/docs/ico/chapter/123.3.pdf" Type="http://schemas.openxmlformats.org/officeDocument/2006/relationships/hyperlink" Id="rId20"/>
    <Relationship TargetMode="External" Target="https://www.legis.iowa.gov/docs/ico/chapter/123.45.pdf" Type="http://schemas.openxmlformats.org/officeDocument/2006/relationships/hyperlink" Id="rId21"/>
    <Relationship TargetMode="External" Target="https://www.legis.iowa.gov/docs/ico/chapter/123.186.pdf" Type="http://schemas.openxmlformats.org/officeDocument/2006/relationships/hyperlink" Id="rId22"/>
    <Relationship TargetMode="External" Target="https://www.legis.iowa.gov/docs/iac/rule/701.1003.16.pdf" Type="http://schemas.openxmlformats.org/officeDocument/2006/relationships/hyperlink" Id="rId23"/>
    <Relationship TargetMode="External" Target="https://www.legis.iowa.gov/docs/ico/chapter/123.186.pdf" Type="http://schemas.openxmlformats.org/officeDocument/2006/relationships/hyperlink" Id="rId24"/>
    <Relationship TargetMode="External" Target="https://www.legis.iowa.gov/docs/iac/rule/701.1003.16.pdf" Type="http://schemas.openxmlformats.org/officeDocument/2006/relationships/hyperlink" Id="rId25"/>
    <Relationship TargetMode="External" Target="https://www.legis.iowa.gov/docs/ico/chapter/123.45.pdf" Type="http://schemas.openxmlformats.org/officeDocument/2006/relationships/hyperlink" Id="rId26"/>
    <Relationship TargetMode="External" Target="https://www.legis.iowa.gov/docs/ico/chapter/123.186.pdf" Type="http://schemas.openxmlformats.org/officeDocument/2006/relationships/hyperlink" Id="rId27"/>
    <Relationship TargetMode="External" Target="https://www.legis.iowa.gov/docs/iac/rule/701.1003.16.pdf" Type="http://schemas.openxmlformats.org/officeDocument/2006/relationships/hyperlink" Id="rId28"/>
    <Relationship TargetMode="External" Target="https://www.legis.iowa.gov/docs/ico/chapter/123.45.pdf" Type="http://schemas.openxmlformats.org/officeDocument/2006/relationships/hyperlink" Id="rId29"/>
    <Relationship TargetMode="External" Target="https://www.legis.iowa.gov/docs/ico/chapter/123.186.pdf" Type="http://schemas.openxmlformats.org/officeDocument/2006/relationships/hyperlink" Id="rId30"/>
    <Relationship TargetMode="External" Target="https://www.legis.iowa.gov/docs/iac/rule/701.1003.1.pdf" Type="http://schemas.openxmlformats.org/officeDocument/2006/relationships/hyperlink" Id="rId31"/>
    <Relationship TargetMode="External" Target="https://www.legis.iowa.gov/docs/ico/chapter/123.45.pdf" Type="http://schemas.openxmlformats.org/officeDocument/2006/relationships/hyperlink" Id="rId32"/>
    <Relationship TargetMode="External" Target="https://www.legis.iowa.gov/docs/ico/chapter/123.186.pdf" Type="http://schemas.openxmlformats.org/officeDocument/2006/relationships/hyperlink" Id="rId33"/>
    <Relationship TargetMode="External" Target="https://www.legis.iowa.gov/docs/ico/chapter/123.3.pdf" Type="http://schemas.openxmlformats.org/officeDocument/2006/relationships/hyperlink" Id="rId34"/>
    <Relationship TargetMode="External" Target="https://www.legis.iowa.gov/docs/ico/chapter/123.46.pdf" Type="http://schemas.openxmlformats.org/officeDocument/2006/relationships/hyperlink" Id="rId35"/>
    <Relationship TargetMode="External" Target="https://www.legis.iowa.gov/docs/ico/chapter/123.3.pdf" Type="http://schemas.openxmlformats.org/officeDocument/2006/relationships/hyperlink" Id="rId36"/>
    <Relationship TargetMode="External" Target="https://www.legis.iowa.gov/docs/ico/chapter/123.pdf" Type="http://schemas.openxmlformats.org/officeDocument/2006/relationships/hyperlink" Id="rId37"/>
    <Relationship TargetMode="External" Target="https://www.legis.iowa.gov/docs/iac/rule/701.1003.16.pdf" Type="http://schemas.openxmlformats.org/officeDocument/2006/relationships/hyperlink" Id="rId38"/>
    <Relationship TargetMode="External" Target="https://www.legis.iowa.gov/docs/ico/chapter/123.186.pdf" Type="http://schemas.openxmlformats.org/officeDocument/2006/relationships/hyperlink" Id="rId39"/>
    <Relationship TargetMode="External" Target="https://www.legis.iowa.gov/docs/iac/rule/701.1003.16.pdf" Type="http://schemas.openxmlformats.org/officeDocument/2006/relationships/hyperlink" Id="rId40"/>
    <Relationship TargetMode="External" Target="https://www.legis.iowa.gov/docs/ico/chapter/123.186.pdf" Type="http://schemas.openxmlformats.org/officeDocument/2006/relationships/hyperlink" Id="rId41"/>
    <Relationship TargetMode="External" Target="https://www.legis.iowa.gov/docs/iac/rule/701.1003.16.pdf" Type="http://schemas.openxmlformats.org/officeDocument/2006/relationships/hyperlink" Id="rId42"/>
    <Relationship TargetMode="External" Target="https://www.legis.iowa.gov/docs/ico/chapter/123.186.pdf" Type="http://schemas.openxmlformats.org/officeDocument/2006/relationships/hyperlink" Id="rId43"/>
    <Relationship TargetMode="External" Target="https://www.legis.iowa.gov/docs/ico/chapter/123.135.pdf" Type="http://schemas.openxmlformats.org/officeDocument/2006/relationships/hyperlink" Id="rId44"/>
    <Relationship TargetMode="External" Target="https://www.legis.iowa.gov/docs/ico/chapter/123.180.pdf" Type="http://schemas.openxmlformats.org/officeDocument/2006/relationships/hyperlink" Id="rId45"/>
    <Relationship TargetMode="External" Target="https://www.legis.iowa.gov/docs/ico/chapter/123.186.pdf" Type="http://schemas.openxmlformats.org/officeDocument/2006/relationships/hyperlink" Id="rId46"/>
    <Relationship TargetMode="External" Target="https://www.legis.iowa.gov/docs/ico/chapter/123.186.pdf" Type="http://schemas.openxmlformats.org/officeDocument/2006/relationships/hyperlink" Id="rId47"/>
    <Relationship TargetMode="External" Target="https://www.legis.iowa.gov/docs/ico/chapter/123.45.pdf" Type="http://schemas.openxmlformats.org/officeDocument/2006/relationships/hyperlink" Id="rId48"/>
    <Relationship TargetMode="External" Target="https://www.legis.iowa.gov/docs/ico/chapter/123.186.pdf" Type="http://schemas.openxmlformats.org/officeDocument/2006/relationships/hyperlink" Id="rId49"/>
    <Relationship TargetMode="External" Target="https://www.legis.iowa.gov/docs/ico/chapter/123.186.pdf" Type="http://schemas.openxmlformats.org/officeDocument/2006/relationships/hyperlink" Id="rId50"/>
    <Relationship TargetMode="External" Target="https://www.legis.iowa.gov/docs/iac/rule/701.1003.16.pdf" Type="http://schemas.openxmlformats.org/officeDocument/2006/relationships/hyperlink" Id="rId51"/>
    <Relationship TargetMode="External" Target="https://www.legis.iowa.gov/docs/ico/chapter/123.45.pdf" Type="http://schemas.openxmlformats.org/officeDocument/2006/relationships/hyperlink" Id="rId52"/>
    <Relationship TargetMode="External" Target="https://www.legis.iowa.gov/docs/ico/chapter/123.186.pdf" Type="http://schemas.openxmlformats.org/officeDocument/2006/relationships/hyperlink" Id="rId53"/>
    <Relationship TargetMode="External" Target="https://www.legis.iowa.gov/docs/ico/chapter/123.186.pdf" Type="http://schemas.openxmlformats.org/officeDocument/2006/relationships/hyperlink" Id="rId54"/>
    <Relationship TargetMode="External" Target="https://www.legis.iowa.gov/docs/iac/rule/701.1003.2.pdf" Type="http://schemas.openxmlformats.org/officeDocument/2006/relationships/hyperlink" Id="rId55"/>
    <Relationship TargetMode="External" Target="https://www.legis.iowa.gov/docs/iac/rule/701.1003.3.pdf" Type="http://schemas.openxmlformats.org/officeDocument/2006/relationships/hyperlink" Id="rId56"/>
    <Relationship TargetMode="External" Target="https://www.legis.iowa.gov/docs/iac/rule/701.1003.4.pdf" Type="http://schemas.openxmlformats.org/officeDocument/2006/relationships/hyperlink" Id="rId57"/>
    <Relationship TargetMode="External" Target="https://www.legis.iowa.gov/docs/iac/rule/701.1003.6.pdf" Type="http://schemas.openxmlformats.org/officeDocument/2006/relationships/hyperlink" Id="rId58"/>
    <Relationship TargetMode="External" Target="https://www.legis.iowa.gov/docs/iac/rule/701.1003.7.pdf" Type="http://schemas.openxmlformats.org/officeDocument/2006/relationships/hyperlink" Id="rId59"/>
    <Relationship TargetMode="External" Target="https://www.legis.iowa.gov/docs/iac/rule/701.1003.8.pdf" Type="http://schemas.openxmlformats.org/officeDocument/2006/relationships/hyperlink" Id="rId60"/>
    <Relationship TargetMode="External" Target="https://www.legis.iowa.gov/docs/iac/rule/701.1003.14.pdf" Type="http://schemas.openxmlformats.org/officeDocument/2006/relationships/hyperlink" Id="rId61"/>
    <Relationship TargetMode="External" Target="https://www.legis.iowa.gov/docs/iac/rule/701.1003.15.pdf" Type="http://schemas.openxmlformats.org/officeDocument/2006/relationships/hyperlink" Id="rId62"/>
    <Relationship TargetMode="External" Target="https://www.legis.iowa.gov/docs/ico/chapter/123.33.pdf" Type="http://schemas.openxmlformats.org/officeDocument/2006/relationships/hyperlink" Id="rId63"/>
    <Relationship TargetMode="External" Target="https://www.legis.iowa.gov/docs/ico/chapter/123.186.pdf" Type="http://schemas.openxmlformats.org/officeDocument/2006/relationships/hyperlink" Id="rId64"/>
    <Relationship TargetMode="External" Target="https://www.legis.iowa.gov/docs/ico/chapter/123.45.pdf" Type="http://schemas.openxmlformats.org/officeDocument/2006/relationships/hyperlink" Id="rId65"/>
    <Relationship TargetMode="External" Target="https://www.legis.iowa.gov/docs/ico/chapter/123.186.pdf" Type="http://schemas.openxmlformats.org/officeDocument/2006/relationships/hyperlink" Id="rId66"/>
    <Relationship TargetMode="External" Target="https://www.legis.iowa.gov/docs/ico/chapter/123.45.pdf" Type="http://schemas.openxmlformats.org/officeDocument/2006/relationships/hyperlink" Id="rId67"/>
    <Relationship TargetMode="External" Target="https://www.legis.iowa.gov/docs/ico/chapter/123.186.pdf" Type="http://schemas.openxmlformats.org/officeDocument/2006/relationships/hyperlink" Id="rId68"/>
    <Relationship TargetMode="External" Target="https://www.legis.iowa.gov/docs/ico/chapter/123.45.pdf" Type="http://schemas.openxmlformats.org/officeDocument/2006/relationships/hyperlink" Id="rId69"/>
    <Relationship TargetMode="External" Target="https://www.legis.iowa.gov/docs/ico/chapter/123.181.pdf" Type="http://schemas.openxmlformats.org/officeDocument/2006/relationships/hyperlink" Id="rId70"/>
    <Relationship TargetMode="External" Target="https://www.legis.iowa.gov/docs/ico/chapter/123.45.pdf" Type="http://schemas.openxmlformats.org/officeDocument/2006/relationships/hyperlink" Id="rId71"/>
    <Relationship TargetMode="External" Target="https://www.legis.iowa.gov/docs/ico/chapter/123.186.pdf" Type="http://schemas.openxmlformats.org/officeDocument/2006/relationships/hyperlink" Id="rId72"/>
    <Relationship TargetMode="External" Target="https://www.legis.iowa.gov/docs/ico/chapter/123.45.pdf" Type="http://schemas.openxmlformats.org/officeDocument/2006/relationships/hyperlink" Id="rId73"/>
    <Relationship TargetMode="External" Target="https://www.legis.iowa.gov/docs/ico/chapter/123.186.pdf" Type="http://schemas.openxmlformats.org/officeDocument/2006/relationships/hyperlink" Id="rId74"/>
    <Relationship TargetMode="External" Target="https://www.legis.iowa.gov/docs/ico/chapter/123.45.pdf" Type="http://schemas.openxmlformats.org/officeDocument/2006/relationships/hyperlink" Id="rId75"/>
    <Relationship TargetMode="External" Target="https://www.legis.iowa.gov/docs/ico/chapter/123.186.pdf" Type="http://schemas.openxmlformats.org/officeDocument/2006/relationships/hyperlink" Id="rId76"/>
    <Relationship TargetMode="External" Target="https://www.legis.iowa.gov/docs/ico/chapter/123.186.pdf" Type="http://schemas.openxmlformats.org/officeDocument/2006/relationships/hyperlink" Id="rId77"/>
    <Relationship TargetMode="External" Target="https://www.legis.iowa.gov/docs/ico/chapter/123.186.pdf" Type="http://schemas.openxmlformats.org/officeDocument/2006/relationships/hyperlink" Id="rId78"/>
    <Relationship TargetMode="External" Target="https://www.legis.iowa.gov/docs/ico/chapter/123.186.pdf" Type="http://schemas.openxmlformats.org/officeDocument/2006/relationships/hyperlink" Id="rId79"/>
    <Relationship TargetMode="External" Target="https://www.legis.iowa.gov/docs/ico/chapter/17A.18.pdf" Type="http://schemas.openxmlformats.org/officeDocument/2006/relationships/hyperlink" Id="rId80"/>
    <Relationship TargetMode="External" Target="https://www.legis.iowa.gov/docs/ico/chapter/123.39.pdf" Type="http://schemas.openxmlformats.org/officeDocument/2006/relationships/hyperlink" Id="rId8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