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1001</w:t>
      </w:r>
    </w:p>
    <w:p>
      <w:pPr>
        <w:spacing w:before="0" w:after="0"/>
        <w:ind w:left="120"/>
        <w:jc w:val="center"/>
      </w:pPr>
      <w:r>
        <w:rPr>
          <w:rFonts w:ascii="Times New Roman" w:hAnsi="Times New Roman"/>
          <w:b w:val="false"/>
          <w:i w:val="false"/>
          <w:color w:val="000000"/>
          <w:sz w:val="21"/>
        </w:rPr>
        <w:t>ALCOHOL PRODUCT MANAGEMENT AND WAREHOUSING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701—1001.1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means the classification of an alcoholic liquor product, such as rum, vodka, or whiskey.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“Delist”</w:t>
      </w:r>
      <w:r>
        <w:rPr>
          <w:rFonts w:ascii="Times New Roman" w:hAnsi="Times New Roman"/>
          <w:b w:val="false"/>
          <w:i w:val="false"/>
          <w:color w:val="000000"/>
          <w:sz w:val="22"/>
        </w:rPr>
        <w:t> </w:t>
      </w:r>
      <w:r>
        <w:rPr>
          <w:rFonts w:ascii="Times New Roman" w:hAnsi="Times New Roman"/>
          <w:b w:val="false"/>
          <w:i w:val="false"/>
          <w:color w:val="000000"/>
          <w:sz w:val="22"/>
        </w:rPr>
        <w:t>means the removal of products from the department’s product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revenue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stock keeping units of alcoholic liquor or native distilled spirits as defined in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“Supplier”</w:t>
      </w:r>
      <w:r>
        <w:rPr>
          <w:rFonts w:ascii="Times New Roman" w:hAnsi="Times New Roman"/>
          <w:b w:val="false"/>
          <w:i w:val="false"/>
          <w:color w:val="000000"/>
          <w:sz w:val="22"/>
        </w:rPr>
        <w:t> </w:t>
      </w:r>
      <w:r>
        <w:rPr>
          <w:rFonts w:ascii="Times New Roman" w:hAnsi="Times New Roman"/>
          <w:b w:val="false"/>
          <w:i w:val="false"/>
          <w:color w:val="000000"/>
          <w:sz w:val="22"/>
        </w:rPr>
        <w:t>means a manufacturer, distiller, or importer of alcoholic liquors or native distilled spirits shipping, selling, or having such alcoholic beverages brought into this state for resale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701—1001.2</w:t>
      </w:r>
      <w:r>
        <w:rPr>
          <w:rFonts w:ascii="Times New Roman" w:hAnsi="Times New Roman"/>
          <w:b/>
          <w:i w:val="false"/>
          <w:color w:val="000000"/>
          <w:sz w:val="22"/>
        </w:rPr>
        <w:t xml:space="preserve">(123) </w:t>
      </w:r>
      <w:r>
        <w:rPr>
          <w:rFonts w:ascii="Times New Roman" w:hAnsi="Times New Roman"/>
          <w:b/>
          <w:i w:val="false"/>
          <w:color w:val="000000"/>
          <w:sz w:val="22"/>
        </w:rPr>
        <w:t xml:space="preserve">Listing classifications. </w:t>
      </w:r>
      <w:r>
        <w:rPr>
          <w:rFonts w:ascii="Times New Roman" w:hAnsi="Times New Roman"/>
          <w:b w:val="false"/>
          <w:i w:val="false"/>
          <w:color w:val="000000"/>
          <w:sz w:val="22"/>
        </w:rPr>
        <w:t>Each product available for sale by the department will be assigned to one of the following listing classifications. Suppliers may indicate their preferred listing classification; however, final determination will be made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color w:val="000000"/>
          <w:sz w:val="22"/>
        </w:rPr>
        <w:t xml:space="preserve">Permanent. </w:t>
      </w:r>
      <w:r>
        <w:rPr>
          <w:rFonts w:ascii="Times New Roman" w:hAnsi="Times New Roman"/>
          <w:b w:val="false"/>
          <w:i w:val="false"/>
          <w:color w:val="000000"/>
          <w:sz w:val="22"/>
        </w:rPr>
        <w:t>Products with a permanent listing will be available for sale by the department on an ongoing basis, unless otherwise delisted or temporarily out of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color w:val="000000"/>
          <w:sz w:val="22"/>
        </w:rPr>
        <w:t xml:space="preserve">Temporary. </w:t>
      </w:r>
      <w:r>
        <w:rPr>
          <w:rFonts w:ascii="Times New Roman" w:hAnsi="Times New Roman"/>
          <w:b w:val="false"/>
          <w:i w:val="false"/>
          <w:color w:val="000000"/>
          <w:sz w:val="22"/>
        </w:rPr>
        <w:t>Temporary listings will have a duration determined by the director and may be extended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1001.2(3)</w:t>
      </w:r>
      <w:r>
        <w:rPr>
          <w:rFonts w:ascii="Times New Roman" w:hAnsi="Times New Roman"/>
          <w:b w:val="false"/>
          <w:i w:val="false"/>
          <w:color w:val="000000"/>
          <w:sz w:val="22"/>
        </w:rPr>
        <w:t> </w:t>
      </w:r>
      <w:r>
        <w:rPr>
          <w:rFonts w:ascii="Times New Roman" w:hAnsi="Times New Roman"/>
          <w:b w:val="false"/>
          <w:i/>
          <w:color w:val="000000"/>
          <w:sz w:val="22"/>
        </w:rPr>
        <w:t xml:space="preserve">Size extension. </w:t>
      </w:r>
      <w:r>
        <w:rPr>
          <w:rFonts w:ascii="Times New Roman" w:hAnsi="Times New Roman"/>
          <w:b w:val="false"/>
          <w:i w:val="false"/>
          <w:color w:val="000000"/>
          <w:sz w:val="22"/>
        </w:rPr>
        <w:t>A supplier must submit a product quote for each additional size of a product that is currently listed for sale. All listed sizes of the product should meet sales criteria established by the director in order for a size extension product quote to be approved as a permanent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1001.2(4)</w:t>
      </w:r>
      <w:r>
        <w:rPr>
          <w:rFonts w:ascii="Times New Roman" w:hAnsi="Times New Roman"/>
          <w:b w:val="false"/>
          <w:i w:val="false"/>
          <w:color w:val="000000"/>
          <w:sz w:val="22"/>
        </w:rPr>
        <w:t> </w:t>
      </w:r>
      <w:r>
        <w:rPr>
          <w:rFonts w:ascii="Times New Roman" w:hAnsi="Times New Roman"/>
          <w:b w:val="false"/>
          <w:i/>
          <w:color w:val="000000"/>
          <w:sz w:val="22"/>
        </w:rPr>
        <w:t xml:space="preserve">Special order. </w:t>
      </w:r>
      <w:r>
        <w:rPr>
          <w:rFonts w:ascii="Times New Roman" w:hAnsi="Times New Roman"/>
          <w:b w:val="false"/>
          <w:i w:val="false"/>
          <w:color w:val="000000"/>
          <w:sz w:val="22"/>
        </w:rPr>
        <w:t>Products that are not currently listed for sale by the department may be purchased through a special order placed with the supplier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 special order will be placed with the department by a class “E” retail alcohol licensee. Special order requests may be submitted electronically or in a manner prescribed by the director. The director may reject a special order request if it is determined that the requested product is in violation of the requirements set out in paragraph </w:t>
      </w:r>
      <w:r>
        <w:rPr>
          <w:rFonts w:ascii="Times New Roman" w:hAnsi="Times New Roman"/>
          <w:b w:val="false"/>
          <w:i w:val="false"/>
          <w:color w:val="000000"/>
          <w:sz w:val="22"/>
        </w:rPr>
        <w:t>1001.3(3)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accepts a special order request, the request will be forwarded on to the supplier of the product. The supplier may approve or deny the special order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order products may only be sold and distributed by the department to class “E” retail alcohol licensees by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order products are not eligible for return to the department by a class “E” retail alcohol licensee without approval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1001.2(5)</w:t>
      </w:r>
      <w:r>
        <w:rPr>
          <w:rFonts w:ascii="Times New Roman" w:hAnsi="Times New Roman"/>
          <w:b w:val="false"/>
          <w:i w:val="false"/>
          <w:color w:val="000000"/>
          <w:sz w:val="22"/>
        </w:rPr>
        <w:t> </w:t>
      </w:r>
      <w:r>
        <w:rPr>
          <w:rFonts w:ascii="Times New Roman" w:hAnsi="Times New Roman"/>
          <w:b w:val="false"/>
          <w:i/>
          <w:color w:val="000000"/>
          <w:sz w:val="22"/>
        </w:rPr>
        <w:t xml:space="preserve">Special order on hand. </w:t>
      </w:r>
      <w:r>
        <w:rPr>
          <w:rFonts w:ascii="Times New Roman" w:hAnsi="Times New Roman"/>
          <w:b w:val="false"/>
          <w:i w:val="false"/>
          <w:color w:val="000000"/>
          <w:sz w:val="22"/>
        </w:rPr>
        <w:t>Products that are frequently sold as special orders may be listed as special order on hand.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classification as a special order on-hand listing, a product must have been previously sold as a special order and meet sales criteria established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that have been delisted are not eligible to be moved from permanent listing to special order on-hand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1001.2(6)</w:t>
      </w:r>
      <w:r>
        <w:rPr>
          <w:rFonts w:ascii="Times New Roman" w:hAnsi="Times New Roman"/>
          <w:b w:val="false"/>
          <w:i w:val="false"/>
          <w:color w:val="000000"/>
          <w:sz w:val="22"/>
        </w:rPr>
        <w:t> </w:t>
      </w:r>
      <w:r>
        <w:rPr>
          <w:rFonts w:ascii="Times New Roman" w:hAnsi="Times New Roman"/>
          <w:b w:val="false"/>
          <w:i/>
          <w:color w:val="000000"/>
          <w:sz w:val="22"/>
        </w:rPr>
        <w:t xml:space="preserve">Highly allocated. </w:t>
      </w:r>
      <w:r>
        <w:rPr>
          <w:rFonts w:ascii="Times New Roman" w:hAnsi="Times New Roman"/>
          <w:b w:val="false"/>
          <w:i w:val="false"/>
          <w:color w:val="000000"/>
          <w:sz w:val="22"/>
        </w:rPr>
        <w:t>Highly allocated products are products of a limited supply as determined by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may be sold via a lottery system as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are not available for sale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1001.2(7)</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r>
        <w:rPr>
          <w:rFonts w:ascii="Times New Roman" w:hAnsi="Times New Roman"/>
          <w:b w:val="false"/>
          <w:i w:val="false"/>
          <w:color w:val="000000"/>
          <w:sz w:val="22"/>
        </w:rPr>
        <w:t>Quantities of listed products available for purchase by class “E” retail alcohol licensees may be limited at the director’s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701—1001.3</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 quote listing requests. </w:t>
      </w:r>
      <w:r>
        <w:rPr>
          <w:rFonts w:ascii="Times New Roman" w:hAnsi="Times New Roman"/>
          <w:b w:val="false"/>
          <w:i w:val="false"/>
          <w:color w:val="000000"/>
          <w:sz w:val="22"/>
        </w:rPr>
        <w:t>The supplier of a product to be sold by the department must submit a product quote for consideration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Submitting a product quote. </w:t>
      </w:r>
      <w:r>
        <w:rPr>
          <w:rFonts w:ascii="Times New Roman" w:hAnsi="Times New Roman"/>
          <w:b w:val="false"/>
          <w:i w:val="false"/>
          <w:color w:val="000000"/>
          <w:sz w:val="22"/>
        </w:rPr>
        <w:t>Product quotes must be submitted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Product quote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product quote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control state code number for the product issued by the National Alcohol Beverage Control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supplier’s freight on board (FOB) cost per case. The case price needs to be evenly divisible by the number of bottles in the case. The supplier determines the number of bottles that form a case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product’s case quantity size and standard of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image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weights and dimensions of the product container, case, and pallet.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product’s 14-digit shipping container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a supplier to conduct a listing presentation for products to become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1001.3(3)</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criteria used to determine whether a product quote may be approved or denied will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product violates the code of responsible practices established by the Distilled Spirits Council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potential of the product to unduly jeopardize the welfare, health, peace, morals, or safety of the people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approve or deny a product quote not more than 20 business days from the date the product quote was submitted or the listing presentation was held, as applicable. Suppliers will be notified of the decision in writing delivered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1001.3(4)</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supplier may appeal the denial of a product quote to the director. A notice of appeal needs to be filed within 30 calendar days of the date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appeal must be in writing and must specify the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notice of appeal will be considered filed at the time it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affirm, reverse, or modify the denial of the product quote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decision constitutes final agency action for the purposes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product quote. </w:t>
      </w:r>
      <w:r>
        <w:rPr>
          <w:rFonts w:ascii="Times New Roman" w:hAnsi="Times New Roman"/>
          <w:b w:val="false"/>
          <w:i w:val="false"/>
          <w:color w:val="000000"/>
          <w:sz w:val="22"/>
        </w:rPr>
        <w:t>If a product quote is denied, the supplier may submit a new request three months after the original request denial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1001.3(6)</w:t>
      </w:r>
      <w:r>
        <w:rPr>
          <w:rFonts w:ascii="Times New Roman" w:hAnsi="Times New Roman"/>
          <w:b w:val="false"/>
          <w:i w:val="false"/>
          <w:color w:val="000000"/>
          <w:sz w:val="22"/>
        </w:rPr>
        <w:t> </w:t>
      </w:r>
      <w:r>
        <w:rPr>
          <w:rFonts w:ascii="Times New Roman" w:hAnsi="Times New Roman"/>
          <w:b w:val="false"/>
          <w:i/>
          <w:color w:val="000000"/>
          <w:sz w:val="22"/>
        </w:rPr>
        <w:t xml:space="preserve">Moratorium. </w:t>
      </w:r>
      <w:r>
        <w:rPr>
          <w:rFonts w:ascii="Times New Roman" w:hAnsi="Times New Roman"/>
          <w:b w:val="false"/>
          <w:i w:val="false"/>
          <w:color w:val="000000"/>
          <w:sz w:val="22"/>
        </w:rPr>
        <w:t>The director may implement a moratorium on new permanent listing product quotes and determine the duration period. The director may allow a supplier to trade out a permanently listed product for a new product during a moratorium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701—1001.4</w:t>
      </w:r>
      <w:r>
        <w:rPr>
          <w:rFonts w:ascii="Times New Roman" w:hAnsi="Times New Roman"/>
          <w:b/>
          <w:i w:val="false"/>
          <w:color w:val="000000"/>
          <w:sz w:val="22"/>
        </w:rPr>
        <w:t xml:space="preserve">(123) </w:t>
      </w:r>
      <w:r>
        <w:rPr>
          <w:rFonts w:ascii="Times New Roman" w:hAnsi="Times New Roman"/>
          <w:b/>
          <w:i w:val="false"/>
          <w:color w:val="000000"/>
          <w:sz w:val="22"/>
        </w:rPr>
        <w:t xml:space="preserve">Shipment of product to the department. </w:t>
      </w:r>
      <w:r>
        <w:rPr>
          <w:rFonts w:ascii="Times New Roman" w:hAnsi="Times New Roman"/>
          <w:b w:val="false"/>
          <w:i w:val="false"/>
          <w:color w:val="000000"/>
          <w:sz w:val="22"/>
        </w:rPr>
        <w:t>Shipments of product intended for sale by the department may only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shipments into the state. </w:t>
      </w:r>
      <w:r>
        <w:rPr>
          <w:rFonts w:ascii="Times New Roman" w:hAnsi="Times New Roman"/>
          <w:b w:val="false"/>
          <w:i w:val="false"/>
          <w:color w:val="000000"/>
          <w:sz w:val="22"/>
        </w:rPr>
        <w:t>Product shipments may only be made into the state of Iowa by suppliers.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locations. </w:t>
      </w:r>
      <w:r>
        <w:rPr>
          <w:rFonts w:ascii="Times New Roman" w:hAnsi="Times New Roman"/>
          <w:b w:val="false"/>
          <w:i w:val="false"/>
          <w:color w:val="000000"/>
          <w:sz w:val="22"/>
        </w:rPr>
        <w:t>Product shipments may only be made to a state warehouse or to receiving points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deliveries. </w:t>
      </w:r>
      <w:r>
        <w:rPr>
          <w:rFonts w:ascii="Times New Roman" w:hAnsi="Times New Roman"/>
          <w:b w:val="false"/>
          <w:i w:val="false"/>
          <w:color w:val="000000"/>
          <w:sz w:val="22"/>
        </w:rPr>
        <w:t xml:space="preserve">Product shipments may only be delivered by methods as determined by the director. Shipments that do not adequately meet the delivery requirements may be refused upon arrival.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Pallet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only accept products shipped on securely stretch-wrapped pallets that are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accept any products shipped on slip sheets. Suppliers will be notified by the department to make arrangements to pick up product shipped on slip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accept pallets that contain multiple product stock keeping units not separated by a pallet 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establish additional requirements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1001.4(5)</w:t>
      </w:r>
      <w:r>
        <w:rPr>
          <w:rFonts w:ascii="Times New Roman" w:hAnsi="Times New Roman"/>
          <w:b w:val="false"/>
          <w:i w:val="false"/>
          <w:color w:val="000000"/>
          <w:sz w:val="22"/>
        </w:rPr>
        <w:t> </w:t>
      </w:r>
      <w:r>
        <w:rPr>
          <w:rFonts w:ascii="Times New Roman" w:hAnsi="Times New Roman"/>
          <w:b w:val="false"/>
          <w:i/>
          <w:color w:val="000000"/>
          <w:sz w:val="22"/>
        </w:rPr>
        <w:t xml:space="preserve">Case 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case of product shipped to the department must include a case code label placed on an end panel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code label needs to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 state code number issued by the National Alcohol Beverage Control Association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 and corresponding barcode.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14-digit shipping container code and corresponding barcode. The shipping container code and barcode needs to meet the minimum requirements established by the American National Standards Institute and the International Organization for Standardization.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1001.4(6)</w:t>
      </w:r>
      <w:r>
        <w:rPr>
          <w:rFonts w:ascii="Times New Roman" w:hAnsi="Times New Roman"/>
          <w:b w:val="false"/>
          <w:i w:val="false"/>
          <w:color w:val="000000"/>
          <w:sz w:val="22"/>
        </w:rPr>
        <w:t> </w:t>
      </w:r>
      <w:r>
        <w:rPr>
          <w:rFonts w:ascii="Times New Roman" w:hAnsi="Times New Roman"/>
          <w:b w:val="false"/>
          <w:i/>
          <w:color w:val="000000"/>
          <w:sz w:val="22"/>
        </w:rPr>
        <w:t xml:space="preserve">Bottle deposit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products intended for resale by the department must meet the requirements of Iowa Code section </w:t>
      </w:r>
      <w:hyperlink r:id="rId7">
        <w:r>
          <w:rPr>
            <w:rStyle w:val="Hyperlink"/>
            <w:rFonts w:ascii="Times New Roman" w:hAnsi="Times New Roman"/>
            <w:b w:val="false"/>
            <w:i w:val="false"/>
            <w:color w:val="000000"/>
            <w:sz w:val="22"/>
          </w:rPr>
          <w:t>455C.5</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Products that do not meet the requirements will not be made available for sale until the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Suppliers may purchase bottle deposit refund stickers from the department. The cost of the stickers to suppliers cannot exceed the department’s cost of producing and distributing the stickers.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1001.4(7)</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special handling charges. </w:t>
      </w:r>
      <w:r>
        <w:rPr>
          <w:rFonts w:ascii="Times New Roman" w:hAnsi="Times New Roman"/>
          <w:b w:val="false"/>
          <w:i w:val="false"/>
          <w:color w:val="000000"/>
          <w:sz w:val="22"/>
        </w:rPr>
        <w:t xml:space="preserve">Product shipments that do not meet the requirements of subrule </w:t>
      </w:r>
      <w:r>
        <w:rPr>
          <w:rFonts w:ascii="Times New Roman" w:hAnsi="Times New Roman"/>
          <w:b w:val="false"/>
          <w:i w:val="false"/>
          <w:color w:val="000000"/>
          <w:sz w:val="22"/>
        </w:rPr>
        <w:t>1001.4(4)</w:t>
      </w:r>
      <w:r>
        <w:rPr>
          <w:rFonts w:ascii="Times New Roman" w:hAnsi="Times New Roman"/>
          <w:b w:val="false"/>
          <w:i w:val="false"/>
          <w:color w:val="000000"/>
          <w:sz w:val="22"/>
        </w:rPr>
        <w:t xml:space="preserve">, </w:t>
      </w:r>
      <w:r>
        <w:rPr>
          <w:rFonts w:ascii="Times New Roman" w:hAnsi="Times New Roman"/>
          <w:b w:val="false"/>
          <w:i w:val="false"/>
          <w:color w:val="000000"/>
          <w:sz w:val="22"/>
        </w:rPr>
        <w:t>1001.4(5)</w:t>
      </w:r>
      <w:r>
        <w:rPr>
          <w:rFonts w:ascii="Times New Roman" w:hAnsi="Times New Roman"/>
          <w:b w:val="false"/>
          <w:i w:val="false"/>
          <w:color w:val="000000"/>
          <w:sz w:val="22"/>
        </w:rPr>
        <w:t xml:space="preserve">, or </w:t>
      </w:r>
      <w:r>
        <w:rPr>
          <w:rFonts w:ascii="Times New Roman" w:hAnsi="Times New Roman"/>
          <w:b w:val="false"/>
          <w:i w:val="false"/>
          <w:color w:val="000000"/>
          <w:sz w:val="22"/>
        </w:rPr>
        <w:t>1001.4(6)</w:t>
      </w:r>
      <w:r>
        <w:rPr>
          <w:rFonts w:ascii="Times New Roman" w:hAnsi="Times New Roman"/>
          <w:b w:val="false"/>
          <w:i w:val="false"/>
          <w:color w:val="000000"/>
          <w:sz w:val="22"/>
        </w:rPr>
        <w:t xml:space="preserve"> will result in the assessment of special handling charges against the supplier. The amount of charges will not exceed the department’s actual cost to bring the shipments into compliance. The department’s actual cost is determined using the negotiated hourly rate of the third party the department has contracted with for warehousing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701—1001.5</w:t>
      </w:r>
      <w:r>
        <w:rPr>
          <w:rFonts w:ascii="Times New Roman" w:hAnsi="Times New Roman"/>
          <w:b/>
          <w:i w:val="false"/>
          <w:color w:val="000000"/>
          <w:sz w:val="22"/>
        </w:rPr>
        <w:t xml:space="preserve">(123) </w:t>
      </w:r>
      <w:r>
        <w:rPr>
          <w:rFonts w:ascii="Times New Roman" w:hAnsi="Times New Roman"/>
          <w:b/>
          <w:i w:val="false"/>
          <w:color w:val="000000"/>
          <w:sz w:val="22"/>
        </w:rPr>
        <w:t xml:space="preserve">Importation of product into the state for manufacturing purposes. </w:t>
      </w:r>
      <w:r>
        <w:rPr>
          <w:rFonts w:ascii="Times New Roman" w:hAnsi="Times New Roman"/>
          <w:b w:val="false"/>
          <w:i w:val="false"/>
          <w:color w:val="000000"/>
          <w:sz w:val="22"/>
        </w:rPr>
        <w:t>Shipments of product intended for manufacturing purposes may only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shipments into the state. </w:t>
      </w:r>
      <w:r>
        <w:rPr>
          <w:rFonts w:ascii="Times New Roman" w:hAnsi="Times New Roman"/>
          <w:b w:val="false"/>
          <w:i w:val="false"/>
          <w:color w:val="000000"/>
          <w:sz w:val="22"/>
        </w:rPr>
        <w:t>Product shipments may only be made into the state of Iowa by suppliers with an appropriate certificate of compliance to manufacturers who have obtained prior approval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locations. </w:t>
      </w:r>
      <w:r>
        <w:rPr>
          <w:rFonts w:ascii="Times New Roman" w:hAnsi="Times New Roman"/>
          <w:b w:val="false"/>
          <w:i w:val="false"/>
          <w:color w:val="000000"/>
          <w:sz w:val="22"/>
        </w:rPr>
        <w:t>Product shipments may only be made to a state warehouse or to receiving points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All records related to the importation of product into the state will be maintained on the licensed premises for a period of three years and must be open to inspection pursuant to Iowa Code section </w:t>
      </w:r>
      <w:hyperlink r:id="rId9">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In accordance with Iowa Code sections </w:t>
      </w:r>
      <w:hyperlink r:id="rId10">
        <w:r>
          <w:rPr>
            <w:rStyle w:val="Hyperlink"/>
            <w:rFonts w:ascii="Times New Roman" w:hAnsi="Times New Roman"/>
            <w:b w:val="false"/>
            <w:i w:val="false"/>
            <w:color w:val="000000"/>
            <w:sz w:val="22"/>
          </w:rPr>
          <w:t>123.98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123.101</w:t>
        </w:r>
      </w:hyperlink>
      <w:r>
        <w:rPr>
          <w:rFonts w:ascii="Times New Roman" w:hAnsi="Times New Roman"/>
          <w:b w:val="false"/>
          <w:i w:val="false"/>
          <w:color w:val="000000"/>
          <w:sz w:val="22"/>
        </w:rPr>
        <w:t>, records will include all product received for each supplier, date received, and an accounting of disposition of all product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701—1001.6</w:t>
      </w:r>
      <w:r>
        <w:rPr>
          <w:rFonts w:ascii="Times New Roman" w:hAnsi="Times New Roman"/>
          <w:b/>
          <w:i w:val="false"/>
          <w:color w:val="000000"/>
          <w:sz w:val="22"/>
        </w:rPr>
        <w:t xml:space="preserve">(123) </w:t>
      </w:r>
      <w:r>
        <w:rPr>
          <w:rFonts w:ascii="Times New Roman" w:hAnsi="Times New Roman"/>
          <w:b/>
          <w:i w:val="false"/>
          <w:color w:val="000000"/>
          <w:sz w:val="22"/>
        </w:rPr>
        <w:t xml:space="preserve">Inventory levels. </w:t>
      </w:r>
      <w:r>
        <w:rPr>
          <w:rFonts w:ascii="Times New Roman" w:hAnsi="Times New Roman"/>
          <w:b w:val="false"/>
          <w:i w:val="false"/>
          <w:color w:val="000000"/>
          <w:sz w:val="22"/>
        </w:rPr>
        <w:t>The director will establish maximum and minimum inventory levels for each listed product. The director may adjust the maximum and minimum inventory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Purchase orders. </w:t>
      </w:r>
      <w:r>
        <w:rPr>
          <w:rFonts w:ascii="Times New Roman" w:hAnsi="Times New Roman"/>
          <w:b w:val="false"/>
          <w:i w:val="false"/>
          <w:color w:val="000000"/>
          <w:sz w:val="22"/>
        </w:rPr>
        <w:t>Suppliers shall submit purchase orders to the department to maintain proper inventory levels. Purchase orders will be submitted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Maximum inventory levels. </w:t>
      </w:r>
      <w:r>
        <w:rPr>
          <w:rFonts w:ascii="Times New Roman" w:hAnsi="Times New Roman"/>
          <w:b w:val="false"/>
          <w:i w:val="false"/>
          <w:color w:val="000000"/>
          <w:sz w:val="22"/>
        </w:rPr>
        <w:t>The department will contact suppliers with product exceeding maximum inventory levels to have the supplier pick up the excess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Maximum inventory level exception. </w:t>
      </w:r>
      <w:r>
        <w:rPr>
          <w:rFonts w:ascii="Times New Roman" w:hAnsi="Times New Roman"/>
          <w:b w:val="false"/>
          <w:i w:val="false"/>
          <w:color w:val="000000"/>
          <w:sz w:val="22"/>
        </w:rPr>
        <w:t>A supplier may request from the department an exception to the established maximum inventory level for a product. Requests for a maximum inventory level exception will be submitted to the department electronically or in a manner prescribed by the director. The director will approve or deny the request and notify the supplier of the decision electronically or in a manner prescribed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701—1001.7</w:t>
      </w:r>
      <w:r>
        <w:rPr>
          <w:rFonts w:ascii="Times New Roman" w:hAnsi="Times New Roman"/>
          <w:b/>
          <w:i w:val="false"/>
          <w:color w:val="000000"/>
          <w:sz w:val="22"/>
        </w:rPr>
        <w:t xml:space="preserve">(123) </w:t>
      </w:r>
      <w:r>
        <w:rPr>
          <w:rFonts w:ascii="Times New Roman" w:hAnsi="Times New Roman"/>
          <w:b/>
          <w:i w:val="false"/>
          <w:color w:val="000000"/>
          <w:sz w:val="22"/>
        </w:rPr>
        <w:t xml:space="preserve">Pricing.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Permanent price changes. </w:t>
      </w:r>
      <w:r>
        <w:rPr>
          <w:rFonts w:ascii="Times New Roman" w:hAnsi="Times New Roman"/>
          <w:b w:val="false"/>
          <w:i w:val="false"/>
          <w:color w:val="000000"/>
          <w:sz w:val="22"/>
        </w:rPr>
        <w:t>Suppliers may make permanent price changes to the case cost of products in any listing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at which permanent price changes may be made will be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price changes shall be submitted electronically, or in a manner prescribed by the director,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Temporary price reductions. </w:t>
      </w:r>
      <w:r>
        <w:rPr>
          <w:rFonts w:ascii="Times New Roman" w:hAnsi="Times New Roman"/>
          <w:b w:val="false"/>
          <w:i w:val="false"/>
          <w:color w:val="000000"/>
          <w:sz w:val="22"/>
        </w:rPr>
        <w:t>Suppliers may make temporary price reductions to the case cost of products with a permanent or temporary listing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with a listing classification of special order, special order on hand, or highly allocated are not eligible for temporary price reductions.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price reductions will become effective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price reductions will be submitted electronically, or in a manner prescribed by the director,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Price lists. </w:t>
      </w:r>
      <w:r>
        <w:rPr>
          <w:rFonts w:ascii="Times New Roman" w:hAnsi="Times New Roman"/>
          <w:b w:val="false"/>
          <w:i w:val="false"/>
          <w:color w:val="000000"/>
          <w:sz w:val="22"/>
        </w:rPr>
        <w:t xml:space="preserve">The department shall publish a price list electronically on a monthly basis showing the price to be paid by class “E” retail alcohol licensees for each brand, variety, and category of product available for sale by the department. The price list will be published on the department’s website at </w:t>
      </w:r>
      <w:hyperlink r:id="rId12">
        <w:r>
          <w:rPr>
            <w:rStyle w:val="Hyperlink"/>
            <w:rFonts w:ascii="Times New Roman" w:hAnsi="Times New Roman"/>
            <w:b w:val="false"/>
            <w:i w:val="false"/>
            <w:color w:val="000000"/>
            <w:sz w:val="22"/>
            <w:u w:val="single"/>
          </w:rPr>
          <w:t>shop.iowaabd.com</w:t>
        </w:r>
      </w:hyperlink>
      <w:r>
        <w:rPr>
          <w:rFonts w:ascii="Times New Roman" w:hAnsi="Times New Roman"/>
          <w:b w:val="false"/>
          <w:i w:val="false"/>
          <w:color w:val="000000"/>
          <w:sz w:val="22"/>
        </w:rPr>
        <w:t xml:space="preserve"> and may be distributed to class “E” retail alcohol licensees as deemed necessary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701—1001.8</w:t>
      </w:r>
      <w:r>
        <w:rPr>
          <w:rFonts w:ascii="Times New Roman" w:hAnsi="Times New Roman"/>
          <w:b/>
          <w:i w:val="false"/>
          <w:color w:val="000000"/>
          <w:sz w:val="22"/>
        </w:rPr>
        <w:t xml:space="preserve">(123) </w:t>
      </w:r>
      <w:r>
        <w:rPr>
          <w:rFonts w:ascii="Times New Roman" w:hAnsi="Times New Roman"/>
          <w:b/>
          <w:i w:val="false"/>
          <w:color w:val="000000"/>
          <w:sz w:val="22"/>
        </w:rPr>
        <w:t xml:space="preserve">Delisting. </w:t>
      </w:r>
      <w:r>
        <w:rPr>
          <w:rFonts w:ascii="Times New Roman" w:hAnsi="Times New Roman"/>
          <w:b w:val="false"/>
          <w:i w:val="false"/>
          <w:color w:val="000000"/>
          <w:sz w:val="22"/>
        </w:rPr>
        <w:t>Listed products that do not meet sales guidelines established by the director may be delisted. The frequency of delisting is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must notify suppliers of the decision to delist a product. The suppliers will be notified of the decision in writing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supplier may appeal the delisting of a product to the director. A notice of appeal needs to be filed within 30 calendar days of the date of delisting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specify the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affirm, reverse, or modify the delisting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decision constitutes final agency action for the purposes of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1001.8(3)</w:t>
      </w:r>
      <w:r>
        <w:rPr>
          <w:rFonts w:ascii="Times New Roman" w:hAnsi="Times New Roman"/>
          <w:b w:val="false"/>
          <w:i w:val="false"/>
          <w:color w:val="000000"/>
          <w:sz w:val="22"/>
        </w:rPr>
        <w:t> </w:t>
      </w:r>
      <w:r>
        <w:rPr>
          <w:rFonts w:ascii="Times New Roman" w:hAnsi="Times New Roman"/>
          <w:b w:val="false"/>
          <w:i/>
          <w:color w:val="000000"/>
          <w:sz w:val="22"/>
        </w:rPr>
        <w:t xml:space="preserve">Removal of delisted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Delisted products shall be removed from the department’s warehouse by the supplier or by the supplier’s agent within a time frame established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supplier may authorize the department to destroy a delisted product in lieu of removal of the product by the supplier from the department’s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 product quotes submitted by a supplier will not be considered by the department until all of the supplier’s delisted product has been removed from the department’s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1001.8(4)</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delisted product for listing. </w:t>
      </w:r>
      <w:r>
        <w:rPr>
          <w:rFonts w:ascii="Times New Roman" w:hAnsi="Times New Roman"/>
          <w:b w:val="false"/>
          <w:i w:val="false"/>
          <w:color w:val="000000"/>
          <w:sz w:val="22"/>
        </w:rPr>
        <w:t>If a product in a permanent listing classification is delisted, a new product quote for the product may be submitted not less than six months after the date the product was removed from the warehouse.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701—1001.9</w:t>
      </w:r>
      <w:r>
        <w:rPr>
          <w:rFonts w:ascii="Times New Roman" w:hAnsi="Times New Roman"/>
          <w:b/>
          <w:i w:val="false"/>
          <w:color w:val="000000"/>
          <w:sz w:val="22"/>
        </w:rPr>
        <w:t xml:space="preserve">(123) </w:t>
      </w:r>
      <w:r>
        <w:rPr>
          <w:rFonts w:ascii="Times New Roman" w:hAnsi="Times New Roman"/>
          <w:b/>
          <w:i w:val="false"/>
          <w:color w:val="000000"/>
          <w:sz w:val="22"/>
        </w:rPr>
        <w:t xml:space="preserve">Barrel programs. </w:t>
      </w:r>
      <w:r>
        <w:rPr>
          <w:rFonts w:ascii="Times New Roman" w:hAnsi="Times New Roman"/>
          <w:b w:val="false"/>
          <w:i w:val="false"/>
          <w:color w:val="000000"/>
          <w:sz w:val="22"/>
        </w:rPr>
        <w:t>A supplier may offer a barrel program, allowing a class “E” retail alcohol licensee to purchase the bottled contents of a barrel-aged product along with the aging barrel.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val="false"/>
          <w:color w:val="000000"/>
          <w:sz w:val="22"/>
        </w:rPr>
        <w:t>Barrel programs must be uniformly offered to all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may sample barrel-aged products pursuant to rule </w:t>
      </w:r>
      <w:hyperlink r:id="rId14">
        <w:r>
          <w:rPr>
            <w:rStyle w:val="Hyperlink"/>
            <w:rFonts w:ascii="Times New Roman" w:hAnsi="Times New Roman"/>
            <w:b w:val="false"/>
            <w:i w:val="false"/>
            <w:color w:val="000000"/>
            <w:sz w:val="22"/>
          </w:rPr>
          <w:t>701—1003.7</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val="false"/>
          <w:color w:val="000000"/>
          <w:sz w:val="22"/>
        </w:rPr>
        <w:t>Barrel program products shall be classified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1001.9(4)</w:t>
      </w:r>
      <w:r>
        <w:rPr>
          <w:rFonts w:ascii="Times New Roman" w:hAnsi="Times New Roman"/>
          <w:b w:val="false"/>
          <w:i w:val="false"/>
          <w:color w:val="000000"/>
          <w:sz w:val="22"/>
        </w:rPr>
        <w:t> </w:t>
      </w:r>
      <w:r>
        <w:rPr>
          <w:rFonts w:ascii="Times New Roman" w:hAnsi="Times New Roman"/>
          <w:b w:val="false"/>
          <w:i w:val="false"/>
          <w:color w:val="000000"/>
          <w:sz w:val="22"/>
        </w:rPr>
        <w:t>Products purchased as part of a barrel program must be sold and delivered to the class “E” retail alcohol licensee that placed the special order. Barrel program products may be split between two or more class “E” retail alcohol licensees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1001.9(5)</w:t>
      </w:r>
      <w:r>
        <w:rPr>
          <w:rFonts w:ascii="Times New Roman" w:hAnsi="Times New Roman"/>
          <w:b w:val="false"/>
          <w:i w:val="false"/>
          <w:color w:val="000000"/>
          <w:sz w:val="22"/>
        </w:rPr>
        <w:t> </w:t>
      </w:r>
      <w:r>
        <w:rPr>
          <w:rFonts w:ascii="Times New Roman" w:hAnsi="Times New Roman"/>
          <w:b w:val="false"/>
          <w:i w:val="false"/>
          <w:color w:val="000000"/>
          <w:sz w:val="22"/>
        </w:rPr>
        <w:t>Aging barrels sold in conjunction with a barrel program must bear conspicuous and substantial advertising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1001.9(6)</w:t>
      </w:r>
      <w:r>
        <w:rPr>
          <w:rFonts w:ascii="Times New Roman" w:hAnsi="Times New Roman"/>
          <w:b w:val="false"/>
          <w:i w:val="false"/>
          <w:color w:val="000000"/>
          <w:sz w:val="22"/>
        </w:rPr>
        <w:t> </w:t>
      </w:r>
      <w:r>
        <w:rPr>
          <w:rFonts w:ascii="Times New Roman" w:hAnsi="Times New Roman"/>
          <w:b w:val="false"/>
          <w:i w:val="false"/>
          <w:color w:val="000000"/>
          <w:sz w:val="22"/>
        </w:rPr>
        <w:t>Bottles from a barrel program may bear customized labels.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 xml:space="preserve">; </w:t>
      </w:r>
      <w:r>
        <w:rPr>
          <w:rFonts w:ascii="Times New Roman" w:hAnsi="Times New Roman"/>
          <w:b/>
          <w:i w:val="false"/>
          <w:color w:val="000000"/>
          <w:sz w:val="16"/>
        </w:rPr>
        <w:t>ARC 0291D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701—1001.10</w:t>
      </w:r>
      <w:r>
        <w:rPr>
          <w:rFonts w:ascii="Times New Roman" w:hAnsi="Times New Roman"/>
          <w:b/>
          <w:i w:val="false"/>
          <w:color w:val="000000"/>
          <w:sz w:val="22"/>
        </w:rPr>
        <w:t xml:space="preserve">(123) </w:t>
      </w:r>
      <w:r>
        <w:rPr>
          <w:rFonts w:ascii="Times New Roman" w:hAnsi="Times New Roman"/>
          <w:b/>
          <w:i w:val="false"/>
          <w:color w:val="000000"/>
          <w:sz w:val="22"/>
        </w:rPr>
        <w:t xml:space="preserve">Bailment system. </w:t>
      </w:r>
      <w:r>
        <w:rPr>
          <w:rFonts w:ascii="Times New Roman" w:hAnsi="Times New Roman"/>
          <w:b w:val="false"/>
          <w:i w:val="false"/>
          <w:color w:val="000000"/>
          <w:sz w:val="22"/>
        </w:rPr>
        <w:t>Suppliers are paid for their product once it is sold by the department to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1001.10(1)</w:t>
      </w:r>
      <w:r>
        <w:rPr>
          <w:rFonts w:ascii="Times New Roman" w:hAnsi="Times New Roman"/>
          <w:b w:val="false"/>
          <w:i w:val="false"/>
          <w:color w:val="000000"/>
          <w:sz w:val="22"/>
        </w:rPr>
        <w:t> </w:t>
      </w:r>
      <w:r>
        <w:rPr>
          <w:rFonts w:ascii="Times New Roman" w:hAnsi="Times New Roman"/>
          <w:b w:val="false"/>
          <w:i/>
          <w:color w:val="000000"/>
          <w:sz w:val="22"/>
        </w:rPr>
        <w:t xml:space="preserve">Bailment agreement. </w:t>
      </w:r>
      <w:r>
        <w:rPr>
          <w:rFonts w:ascii="Times New Roman" w:hAnsi="Times New Roman"/>
          <w:b w:val="false"/>
          <w:i w:val="false"/>
          <w:color w:val="000000"/>
          <w:sz w:val="22"/>
        </w:rPr>
        <w:t>A supplier shall consent to the department’s bailment system by signing a bailment agreement prior to listing a product for sale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1001.10(2)</w:t>
      </w:r>
      <w:r>
        <w:rPr>
          <w:rFonts w:ascii="Times New Roman" w:hAnsi="Times New Roman"/>
          <w:b w:val="false"/>
          <w:i w:val="false"/>
          <w:color w:val="000000"/>
          <w:sz w:val="22"/>
        </w:rPr>
        <w:t> </w:t>
      </w:r>
      <w:r>
        <w:rPr>
          <w:rFonts w:ascii="Times New Roman" w:hAnsi="Times New Roman"/>
          <w:b w:val="false"/>
          <w:i/>
          <w:color w:val="000000"/>
          <w:sz w:val="22"/>
        </w:rPr>
        <w:t xml:space="preserve">Bailment fee. </w:t>
      </w:r>
      <w:r>
        <w:rPr>
          <w:rFonts w:ascii="Times New Roman" w:hAnsi="Times New Roman"/>
          <w:b w:val="false"/>
          <w:i w:val="false"/>
          <w:color w:val="000000"/>
          <w:sz w:val="22"/>
        </w:rPr>
        <w:t>The department shall charge suppliers a bailment fee in the amount of $1 per case of product sold or in a corresponding rate for the portion of a case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123.10(2)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123.10(3)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123.10(6)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123.10(10)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9086C</w:t>
      </w:r>
      <w:r>
        <w:rPr>
          <w:rFonts w:ascii="Times New Roman" w:hAnsi="Times New Roman"/>
          <w:b w:val="false"/>
          <w:i w:val="false"/>
          <w:color w:val="000000"/>
          <w:sz w:val="21"/>
        </w:rPr>
        <w:t xml:space="preserve"> (Notice ARC 8725C, IAB 2/5/25)</w:t>
      </w:r>
      <w:r>
        <w:rPr>
          <w:rFonts w:ascii="Times New Roman" w:hAnsi="Times New Roman"/>
          <w:b w:val="false"/>
          <w:i w:val="false"/>
          <w:color w:val="000000"/>
          <w:sz w:val="21"/>
        </w:rPr>
        <w:t>, IAB 4/2/25, effective 5/7/25]</w:t>
      </w:r>
    </w:p>
    <w:p>
      <w:pPr>
        <w:spacing w:before="0" w:after="0"/>
        <w:ind w:left="120"/>
        <w:jc w:val="center"/>
      </w:pPr>
      <w:r>
        <w:rPr>
          <w:rFonts w:ascii="Times New Roman" w:hAnsi="Times New Roman"/>
          <w:b w:val="false"/>
          <w:i w:val="false"/>
          <w:color w:val="000000"/>
          <w:sz w:val="21"/>
        </w:rPr>
        <w:t>[Filed ARC 0291D</w:t>
      </w:r>
      <w:r>
        <w:rPr>
          <w:rFonts w:ascii="Times New Roman" w:hAnsi="Times New Roman"/>
          <w:b w:val="false"/>
          <w:i w:val="false"/>
          <w:color w:val="000000"/>
          <w:sz w:val="21"/>
        </w:rPr>
        <w:t xml:space="preserve"> (Notice ARC 0129D, IAB 3/18/26)</w:t>
      </w:r>
      <w:r>
        <w:rPr>
          <w:rFonts w:ascii="Times New Roman" w:hAnsi="Times New Roman"/>
          <w:b w:val="false"/>
          <w:i w:val="false"/>
          <w:color w:val="000000"/>
          <w:sz w:val="21"/>
        </w:rPr>
        <w:t>, IAB 5/13/26, effective 6/17/26]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455C.5.pdf" Type="http://schemas.openxmlformats.org/officeDocument/2006/relationships/hyperlink" Id="rId7"/>
    <Relationship TargetMode="External" Target="https://www.legis.iowa.gov/docs/iac/rule/567.107.3.pdf" Type="http://schemas.openxmlformats.org/officeDocument/2006/relationships/hyperlink" Id="rId8"/>
    <Relationship TargetMode="External" Target="https://www.legis.iowa.gov/docs/ico/chapter/123.33.pdf" Type="http://schemas.openxmlformats.org/officeDocument/2006/relationships/hyperlink" Id="rId9"/>
    <Relationship TargetMode="External" Target="https://www.legis.iowa.gov/docs/ico/chapter/123.98.pdf" Type="http://schemas.openxmlformats.org/officeDocument/2006/relationships/hyperlink" Id="rId10"/>
    <Relationship TargetMode="External" Target="https://www.legis.iowa.gov/docs/ico/chapter/123.101.pdf" Type="http://schemas.openxmlformats.org/officeDocument/2006/relationships/hyperlink" Id="rId11"/>
    <Relationship TargetMode="External" Target="http://shop.iowaabd.com"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701.1003.7.pdf" Type="http://schemas.openxmlformats.org/officeDocument/2006/relationships/hyperlink" Id="rId14"/>
    <Relationship TargetMode="External" Target="https://www.legis.iowa.gov/docs/ico/chapter/123.10.pdf" Type="http://schemas.openxmlformats.org/officeDocument/2006/relationships/hyperlink" Id="rId15"/>
    <Relationship TargetMode="External" Target="https://www.legis.iowa.gov/docs/ico/chapter/123.10.pdf" Type="http://schemas.openxmlformats.org/officeDocument/2006/relationships/hyperlink" Id="rId16"/>
    <Relationship TargetMode="External" Target="https://www.legis.iowa.gov/docs/ico/chapter/123.10.pdf" Type="http://schemas.openxmlformats.org/officeDocument/2006/relationships/hyperlink" Id="rId17"/>
    <Relationship TargetMode="External" Target="https://www.legis.iowa.gov/docs/ico/chapter/123.10.pdf" Type="http://schemas.openxmlformats.org/officeDocument/2006/relationships/hyperlink" Id="rId18"/>
    <Relationship TargetMode="External" Target="https://www.legis.iowa.gov/docs/ico/chapter/123.22.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