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w:t>
      </w:r>
    </w:p>
    <w:p>
      <w:pPr>
        <w:pBdr>
          <w:bottom w:space="3"/>
        </w:pBdr>
        <w:spacing w:before="0" w:after="0"/>
        <w:ind w:left="120"/>
        <w:jc w:val="center"/>
      </w:pPr>
      <w:r>
        <w:rPr>
          <w:rFonts w:ascii="Times New Roman" w:hAnsi="Times New Roman"/>
          <w:b w:val="false"/>
          <w:i/>
          <w:color w:val="000000"/>
          <w:sz w:val="16"/>
        </w:rPr>
        <w:t>PROPERTY TAX</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 xml:space="preserve">COLLECTION OF PROPERTY TAX </w:t>
      </w:r>
    </w:p>
    <w:p>
      <w:pPr>
        <w:spacing w:before="0" w:after="0"/>
        <w:ind w:left="120"/>
        <w:jc w:val="center"/>
      </w:pPr>
      <w:r>
        <w:rPr>
          <w:rFonts w:ascii="Times New Roman" w:hAnsi="Times New Roman"/>
          <w:b w:val="false"/>
          <w:i w:val="false"/>
          <w:color w:val="000000"/>
          <w:sz w:val="14"/>
        </w:rPr>
        <w:t>[Prior to 11/2/22, see Revenue Department[701] Ch 75]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701—100.1</w:t>
      </w:r>
      <w:r>
        <w:rPr>
          <w:rFonts w:ascii="Times New Roman" w:hAnsi="Times New Roman"/>
          <w:b/>
          <w:i w:val="false"/>
          <w:color w:val="000000"/>
          <w:sz w:val="22"/>
        </w:rPr>
        <w:t xml:space="preserve">(441) </w:t>
      </w:r>
      <w:r>
        <w:rPr>
          <w:rFonts w:ascii="Times New Roman" w:hAnsi="Times New Roman"/>
          <w:b/>
          <w:i w:val="false"/>
          <w:color w:val="000000"/>
          <w:sz w:val="22"/>
        </w:rPr>
        <w:t xml:space="preserve">Tax year. </w:t>
      </w:r>
      <w:r>
        <w:rPr>
          <w:rFonts w:ascii="Times New Roman" w:hAnsi="Times New Roman"/>
          <w:b w:val="false"/>
          <w:i w:val="false"/>
          <w:color w:val="000000"/>
          <w:sz w:val="22"/>
        </w:rPr>
        <w:t>The assessment date is January 1 for taxes for the fiscal year which commences 6 months after the assessment date and which become delinquent during the fiscal year commencing 18 months after the assessment date. For example, taxes payable in fiscal year 1991-1992 are for fiscal year 1990-1991 and are based on the January 1, 1990, assessment.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441.46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701—100.2</w:t>
      </w:r>
      <w:r>
        <w:rPr>
          <w:rFonts w:ascii="Times New Roman" w:hAnsi="Times New Roman"/>
          <w:b/>
          <w:i w:val="false"/>
          <w:color w:val="000000"/>
          <w:sz w:val="22"/>
        </w:rPr>
        <w:t xml:space="preserve">(445) </w:t>
      </w:r>
      <w:r>
        <w:rPr>
          <w:rFonts w:ascii="Times New Roman" w:hAnsi="Times New Roman"/>
          <w:b/>
          <w:i w:val="false"/>
          <w:color w:val="000000"/>
          <w:sz w:val="22"/>
        </w:rPr>
        <w:t xml:space="preserve">Partial payment of tax. </w:t>
      </w:r>
      <w:r>
        <w:rPr>
          <w:rFonts w:ascii="Times New Roman" w:hAnsi="Times New Roman"/>
          <w:b w:val="false"/>
          <w:i w:val="false"/>
          <w:color w:val="000000"/>
          <w:sz w:val="22"/>
        </w:rPr>
        <w:t xml:space="preserve">Partial payments of taxes may be allowed at the discretion of the county treasurer. If the treasurer elects to permit partial payments, the authorization shall apply to all taxpayers within the county. If the partial payments made are insufficient to fully satisfy an installment due by the delinquency date, the unpaid portion of the installment shall draw interest at the rate specified in Iowa Code section </w:t>
      </w:r>
      <w:hyperlink r:id="rId6">
        <w:r>
          <w:rPr>
            <w:rStyle w:val="Hyperlink"/>
            <w:rFonts w:ascii="Times New Roman" w:hAnsi="Times New Roman"/>
            <w:b w:val="false"/>
            <w:i w:val="false"/>
            <w:color w:val="000000"/>
            <w:sz w:val="22"/>
          </w:rPr>
          <w:t>445.39</w:t>
        </w:r>
      </w:hyperlink>
      <w:r>
        <w:rPr>
          <w:rFonts w:ascii="Times New Roman" w:hAnsi="Times New Roman"/>
          <w:b w:val="false"/>
          <w:i w:val="false"/>
          <w:color w:val="000000"/>
          <w:sz w:val="22"/>
        </w:rPr>
        <w:t>. Current year taxes may be paid at any time regardless of any outstanding prior year delinquent tax. The minimum payment for delinquent taxes must be equal to or exceed the interest, fees, and costs of the installment being paid.</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7">
        <w:r>
          <w:rPr>
            <w:rStyle w:val="Hyperlink"/>
            <w:rFonts w:ascii="Times New Roman" w:hAnsi="Times New Roman"/>
            <w:b w:val="false"/>
            <w:i w:val="false"/>
            <w:color w:val="000000"/>
            <w:sz w:val="22"/>
          </w:rPr>
          <w:t>445.36A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w:t>
      </w:r>
      <w:r>
        <w:rPr>
          <w:rFonts w:ascii="Times New Roman" w:hAnsi="Times New Roman"/>
          <w:b/>
          <w:i w:val="false"/>
          <w:color w:val="000000"/>
          <w:sz w:val="22"/>
        </w:rPr>
        <w:t xml:space="preserve">(445) </w:t>
      </w:r>
      <w:r>
        <w:rPr>
          <w:rFonts w:ascii="Times New Roman" w:hAnsi="Times New Roman"/>
          <w:b/>
          <w:i w:val="false"/>
          <w:color w:val="000000"/>
          <w:sz w:val="22"/>
        </w:rPr>
        <w:t xml:space="preserve">When delinquent. </w:t>
      </w:r>
      <w:r>
        <w:rPr>
          <w:rFonts w:ascii="Times New Roman" w:hAnsi="Times New Roman"/>
          <w:b w:val="false"/>
          <w:i w:val="false"/>
          <w:color w:val="000000"/>
          <w:sz w:val="22"/>
        </w:rPr>
        <w:t xml:space="preserve">The first half installment of taxes shall become delinquent if not received by the county treasurer on or before the last business day preceding October 1, and the second half installment shall become delinquent if not received by the county treasurer on or before the last business day preceding April 1. If mailed, the payment envelope must bear a postmark date preceding October 1 or April 1 to avoid delinquency. If paid electronically, the payment must be initiated by midnight on the last day of the month preceding the delinquent date to avoid interest on the taxes. However, in those instances when the last day of September or March is a Saturday or Sunday, the taxes become delinquent on the second business day of October or April, whichever is applicable. Delinquent taxes shall draw interest at the rate specified in Iowa Code section </w:t>
      </w:r>
      <w:hyperlink r:id="rId8">
        <w:r>
          <w:rPr>
            <w:rStyle w:val="Hyperlink"/>
            <w:rFonts w:ascii="Times New Roman" w:hAnsi="Times New Roman"/>
            <w:b w:val="false"/>
            <w:i w:val="false"/>
            <w:color w:val="000000"/>
            <w:sz w:val="22"/>
          </w:rPr>
          <w:t>445.39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445.37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701—100.4</w:t>
      </w:r>
      <w:r>
        <w:rPr>
          <w:rFonts w:ascii="Times New Roman" w:hAnsi="Times New Roman"/>
          <w:b/>
          <w:i w:val="false"/>
          <w:color w:val="000000"/>
          <w:sz w:val="22"/>
        </w:rPr>
        <w:t xml:space="preserve">(446) </w:t>
      </w:r>
      <w:r>
        <w:rPr>
          <w:rFonts w:ascii="Times New Roman" w:hAnsi="Times New Roman"/>
          <w:b/>
          <w:i w:val="false"/>
          <w:color w:val="000000"/>
          <w:sz w:val="22"/>
        </w:rPr>
        <w:t xml:space="preserve">Payment of subsequent year taxes by purchaser. </w:t>
      </w:r>
      <w:r>
        <w:rPr>
          <w:rFonts w:ascii="Times New Roman" w:hAnsi="Times New Roman"/>
          <w:b w:val="false"/>
          <w:i w:val="false"/>
          <w:color w:val="000000"/>
          <w:sz w:val="22"/>
        </w:rPr>
        <w:t>Taxes for a subsequent year may not be paid by the purchaser of the property sold at tax sale until 14 days following the date from which an installment becomes delinquent.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446.32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1993 Iowa Acts, chapter 73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701—100.5</w:t>
      </w:r>
      <w:r>
        <w:rPr>
          <w:rFonts w:ascii="Times New Roman" w:hAnsi="Times New Roman"/>
          <w:b/>
          <w:i w:val="false"/>
          <w:color w:val="000000"/>
          <w:sz w:val="22"/>
        </w:rPr>
        <w:t xml:space="preserve">(428,433,434,437,437A,438,85GA,SF451) </w:t>
      </w:r>
      <w:r>
        <w:rPr>
          <w:rFonts w:ascii="Times New Roman" w:hAnsi="Times New Roman"/>
          <w:b/>
          <w:i w:val="false"/>
          <w:color w:val="000000"/>
          <w:sz w:val="22"/>
        </w:rPr>
        <w:t xml:space="preserve">Central assessment confidentiality. </w:t>
      </w:r>
      <w:r>
        <w:rPr>
          <w:rFonts w:ascii="Times New Roman" w:hAnsi="Times New Roman"/>
          <w:b w:val="false"/>
          <w:i w:val="false"/>
          <w:color w:val="000000"/>
          <w:sz w:val="22"/>
        </w:rPr>
        <w:t xml:space="preserve">The release of information contained in any reports filed under Iowa Code chapters </w:t>
      </w:r>
      <w:hyperlink r:id="rId11">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437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438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2013 Iowa Acts, Senate File 451</w:t>
      </w:r>
      <w:r>
        <w:rPr>
          <w:rFonts w:ascii="Times New Roman" w:hAnsi="Times New Roman"/>
          <w:b w:val="false"/>
          <w:i w:val="false"/>
          <w:color w:val="000000"/>
          <w:sz w:val="22"/>
        </w:rPr>
        <w:t xml:space="preserve">, sections 10 to 30, or obtained by the department in the administration of those chapters, is governed by the general provisions of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since there are no specific provisions relating to confidential information contained in those chapters. Any request for information must be made pursuant to rule </w:t>
      </w:r>
      <w:hyperlink r:id="rId18">
        <w:r>
          <w:rPr>
            <w:rStyle w:val="Hyperlink"/>
            <w:rFonts w:ascii="Times New Roman" w:hAnsi="Times New Roman"/>
            <w:b w:val="false"/>
            <w:i w:val="false"/>
            <w:color w:val="000000"/>
            <w:sz w:val="22"/>
          </w:rPr>
          <w:t>701—6.2(17A)</w:t>
        </w:r>
      </w:hyperlink>
      <w:r>
        <w:rPr>
          <w:rFonts w:ascii="Times New Roman" w:hAnsi="Times New Roman"/>
          <w:b w:val="false"/>
          <w:i w:val="false"/>
          <w:color w:val="000000"/>
          <w:sz w:val="22"/>
        </w:rPr>
        <w:t xml:space="preserve">. See rule </w:t>
      </w:r>
      <w:hyperlink r:id="rId19">
        <w:r>
          <w:rPr>
            <w:rStyle w:val="Hyperlink"/>
            <w:rFonts w:ascii="Times New Roman" w:hAnsi="Times New Roman"/>
            <w:b w:val="false"/>
            <w:i w:val="false"/>
            <w:color w:val="000000"/>
            <w:sz w:val="22"/>
          </w:rPr>
          <w:t>701—6.3(17A)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Any request for information pertaining to a taxpayer’s business affairs, operations, source of income, profits, losses, or expenditures must be made in writing to the director. The taxpayer to whom the information relates will be notified of the request for information and will be allowed 20 days to substantiate any claim of confidentiality under Iowa Code chapter </w:t>
      </w:r>
      <w:hyperlink r:id="rId2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statute such as Iowa Code section </w:t>
      </w:r>
      <w:hyperlink r:id="rId21">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If substantiated, the request will be denied; otherwise, the information will be released to the requesting party. This rule will not prevent the exchange of information between state and federal agencies.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2">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437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438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2013 Iowa Acts, Senate File 451</w:t>
      </w:r>
      <w:r>
        <w:rPr>
          <w:rFonts w:ascii="Times New Roman" w:hAnsi="Times New Roman"/>
          <w:b w:val="false"/>
          <w:i w:val="false"/>
          <w:color w:val="000000"/>
          <w:sz w:val="22"/>
        </w:rPr>
        <w:t>, sections 10 to 30.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701—100.6</w:t>
      </w:r>
      <w:r>
        <w:rPr>
          <w:rFonts w:ascii="Times New Roman" w:hAnsi="Times New Roman"/>
          <w:b/>
          <w:i w:val="false"/>
          <w:color w:val="000000"/>
          <w:sz w:val="22"/>
        </w:rPr>
        <w:t xml:space="preserve">(446) </w:t>
      </w:r>
      <w:r>
        <w:rPr>
          <w:rFonts w:ascii="Times New Roman" w:hAnsi="Times New Roman"/>
          <w:b/>
          <w:i w:val="false"/>
          <w:color w:val="000000"/>
          <w:sz w:val="22"/>
        </w:rPr>
        <w:t xml:space="preserve">Tax sale. </w:t>
      </w:r>
      <w:r>
        <w:rPr>
          <w:rFonts w:ascii="Times New Roman" w:hAnsi="Times New Roman"/>
          <w:b w:val="false"/>
          <w:i w:val="false"/>
          <w:color w:val="000000"/>
          <w:sz w:val="22"/>
        </w:rPr>
        <w:t>The county treasurer shall hold the annual tax sale on the third Monday in June. If, for good cause, the treasurer is unable to hold the tax sale on that date, the treasurer may designate a different date in June for the sale.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446.7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4</w:t>
      </w:r>
      <w:r>
        <w:rPr>
          <w:rFonts w:ascii="Times New Roman" w:hAnsi="Times New Roman"/>
          <w:b w:val="false"/>
          <w:i w:val="false"/>
          <w:color w:val="000000"/>
          <w:sz w:val="22"/>
        </w:rPr>
        <w:t>, section 1.</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701—100.7</w:t>
      </w:r>
      <w:r>
        <w:rPr>
          <w:rFonts w:ascii="Times New Roman" w:hAnsi="Times New Roman"/>
          <w:b/>
          <w:i w:val="false"/>
          <w:color w:val="000000"/>
          <w:sz w:val="22"/>
        </w:rPr>
        <w:t xml:space="preserve">(445) </w:t>
      </w:r>
      <w:r>
        <w:rPr>
          <w:rFonts w:ascii="Times New Roman" w:hAnsi="Times New Roman"/>
          <w:b/>
          <w:i w:val="false"/>
          <w:color w:val="000000"/>
          <w:sz w:val="22"/>
        </w:rPr>
        <w:t xml:space="preserve">Refund of tax. </w:t>
      </w:r>
      <w:r>
        <w:rPr>
          <w:rFonts w:ascii="Times New Roman" w:hAnsi="Times New Roman"/>
          <w:b w:val="false"/>
          <w:i w:val="false"/>
          <w:color w:val="000000"/>
          <w:sz w:val="22"/>
        </w:rPr>
        <w:t>The board of supervisors shall order the county treasurer to refund taxes found to have been erroneously or illegally collected. A claim for refund must be presented to the board within two years of the date the tax was due or if appealed within two years of the final decision.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445.60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174</w:t>
      </w:r>
      <w:r>
        <w:rPr>
          <w:rFonts w:ascii="Times New Roman" w:hAnsi="Times New Roman"/>
          <w:b w:val="false"/>
          <w:i w:val="false"/>
          <w:color w:val="000000"/>
          <w:sz w:val="22"/>
        </w:rPr>
        <w:t>, section 6.</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701—100.8</w:t>
      </w:r>
      <w:r>
        <w:rPr>
          <w:rFonts w:ascii="Times New Roman" w:hAnsi="Times New Roman"/>
          <w:b/>
          <w:i w:val="false"/>
          <w:color w:val="000000"/>
          <w:sz w:val="22"/>
        </w:rPr>
        <w:t xml:space="preserve">(614) </w:t>
      </w:r>
      <w:r>
        <w:rPr>
          <w:rFonts w:ascii="Times New Roman" w:hAnsi="Times New Roman"/>
          <w:b/>
          <w:i w:val="false"/>
          <w:color w:val="000000"/>
          <w:sz w:val="22"/>
        </w:rPr>
        <w:t xml:space="preserve">Delinquent property taxes. </w:t>
      </w:r>
      <w:r>
        <w:rPr>
          <w:rFonts w:ascii="Times New Roman" w:hAnsi="Times New Roman"/>
          <w:b w:val="false"/>
          <w:i w:val="false"/>
          <w:color w:val="000000"/>
          <w:sz w:val="22"/>
        </w:rPr>
        <w:t>A county is immune from the statute of limitations when collecting delinquent property taxes levied on or after April 1, 1992 (Fennelly 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A-1 Machine and Tool Co.,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73/04-1232—10/6/06).</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614.1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450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12/7/90, Notice 10/17/90—published 12/26/90, effective 1/30/91]</w:t>
      </w:r>
    </w:p>
    <w:p>
      <w:pPr>
        <w:spacing w:before="0" w:after="0"/>
        <w:ind w:left="120"/>
        <w:jc w:val="center"/>
      </w:pPr>
      <w:r>
        <w:rPr>
          <w:rFonts w:ascii="Times New Roman" w:hAnsi="Times New Roman"/>
          <w:b w:val="false"/>
          <w:i w:val="false"/>
          <w:color w:val="000000"/>
          <w:sz w:val="21"/>
        </w:rPr>
        <w:t>[Filed 9/23/92, Notice 8/19/92—published 10/14/92, effective 11/18/92]</w:t>
      </w:r>
    </w:p>
    <w:p>
      <w:pPr>
        <w:spacing w:before="0" w:after="0"/>
        <w:ind w:left="120"/>
        <w:jc w:val="center"/>
      </w:pPr>
      <w:r>
        <w:rPr>
          <w:rFonts w:ascii="Times New Roman" w:hAnsi="Times New Roman"/>
          <w:b w:val="false"/>
          <w:i w:val="false"/>
          <w:color w:val="000000"/>
          <w:sz w:val="21"/>
        </w:rPr>
        <w:t>[Filed 10/8/93, Notice 9/1/93—published 10/27/93, effective 12/1/93]</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3/7/97, Notice 1/29/97—published 3/26/97, effective 4/30/97]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1/7/00, Notice 12/1/99—published 1/26/00, effective 3/1/00]</w:t>
      </w:r>
    </w:p>
    <w:p>
      <w:pPr>
        <w:spacing w:before="0" w:after="0"/>
        <w:ind w:left="120"/>
        <w:jc w:val="center"/>
      </w:pPr>
      <w:r>
        <w:rPr>
          <w:rFonts w:ascii="Times New Roman" w:hAnsi="Times New Roman"/>
          <w:b w:val="false"/>
          <w:i w:val="false"/>
          <w:color w:val="000000"/>
          <w:sz w:val="21"/>
        </w:rPr>
        <w:t>[Filed 10/12/01, Notice 9/5/01—published 10/31/01, effective 12/5/01]</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10/25/02, Notice 9/4/02—published 11/13/02, effective 12/18/02]</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10/19/07, Notice 9/12/07—published 11/7/07, effective 12/12/07]</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[Filed Emergency ARC 0965C, IAB 8/21/13, effective 8/2/13]</w:t>
      </w:r>
    </w:p>
    <w:p>
      <w:pPr>
        <w:spacing w:before="0" w:after="0"/>
        <w:ind w:left="120"/>
        <w:jc w:val="center"/>
      </w:pPr>
      <w:r>
        <w:rPr>
          <w:rFonts w:ascii="Times New Roman" w:hAnsi="Times New Roman"/>
          <w:b w:val="false"/>
          <w:i w:val="false"/>
          <w:color w:val="000000"/>
          <w:sz w:val="21"/>
        </w:rPr>
        <w:t>[Filed ARC 1105C</w:t>
      </w:r>
      <w:r>
        <w:rPr>
          <w:rFonts w:ascii="Times New Roman" w:hAnsi="Times New Roman"/>
          <w:b w:val="false"/>
          <w:i w:val="false"/>
          <w:color w:val="000000"/>
          <w:sz w:val="21"/>
        </w:rPr>
        <w:t xml:space="preserve"> (Notice ARC 0966C,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[Editorial change: IAC Supplement 11/2/22]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41.46.pdf" Type="http://schemas.openxmlformats.org/officeDocument/2006/relationships/hyperlink" Id="rId5"/>
    <Relationship TargetMode="External" Target="https://www.legis.iowa.gov/docs/ico/chapter/445.39.pdf" Type="http://schemas.openxmlformats.org/officeDocument/2006/relationships/hyperlink" Id="rId6"/>
    <Relationship TargetMode="External" Target="https://www.legis.iowa.gov/docs/ico/chapter/445.36A.pdf" Type="http://schemas.openxmlformats.org/officeDocument/2006/relationships/hyperlink" Id="rId7"/>
    <Relationship TargetMode="External" Target="https://www.legis.iowa.gov/docs/ico/chapter/445.39.pdf" Type="http://schemas.openxmlformats.org/officeDocument/2006/relationships/hyperlink" Id="rId8"/>
    <Relationship TargetMode="External" Target="https://www.legis.iowa.gov/docs/ico/chapter/445.37.pdf" Type="http://schemas.openxmlformats.org/officeDocument/2006/relationships/hyperlink" Id="rId9"/>
    <Relationship TargetMode="External" Target="https://www.legis.iowa.gov/docs/ico/chapter/446.32.pdf" Type="http://schemas.openxmlformats.org/officeDocument/2006/relationships/hyperlink" Id="rId10"/>
    <Relationship TargetMode="External" Target="https://www.legis.iowa.gov/docs/ico/chapter/428.pdf" Type="http://schemas.openxmlformats.org/officeDocument/2006/relationships/hyperlink" Id="rId11"/>
    <Relationship TargetMode="External" Target="https://www.legis.iowa.gov/docs/ico/chapter/433.pdf" Type="http://schemas.openxmlformats.org/officeDocument/2006/relationships/hyperlink" Id="rId12"/>
    <Relationship TargetMode="External" Target="https://www.legis.iowa.gov/docs/ico/chapter/434.pdf" Type="http://schemas.openxmlformats.org/officeDocument/2006/relationships/hyperlink" Id="rId13"/>
    <Relationship TargetMode="External" Target="https://www.legis.iowa.gov/docs/ico/chapter/437.pdf" Type="http://schemas.openxmlformats.org/officeDocument/2006/relationships/hyperlink" Id="rId14"/>
    <Relationship TargetMode="External" Target="https://www.legis.iowa.gov/docs/ico/chapter/437A.pdf" Type="http://schemas.openxmlformats.org/officeDocument/2006/relationships/hyperlink" Id="rId15"/>
    <Relationship TargetMode="External" Target="https://www.legis.iowa.gov/docs/ico/chapter/438.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ac/rule/701.6.2.pdf" Type="http://schemas.openxmlformats.org/officeDocument/2006/relationships/hyperlink" Id="rId18"/>
    <Relationship TargetMode="External" Target="https://www.legis.iowa.gov/docs/iac/rule/701.6.3.pdf" Type="http://schemas.openxmlformats.org/officeDocument/2006/relationships/hyperlink" Id="rId19"/>
    <Relationship TargetMode="External" Target="https://www.legis.iowa.gov/docs/ico/chapter/22.pdf" Type="http://schemas.openxmlformats.org/officeDocument/2006/relationships/hyperlink" Id="rId20"/>
    <Relationship TargetMode="External" Target="https://www.legis.iowa.gov/docs/ico/chapter/422.72.pdf" Type="http://schemas.openxmlformats.org/officeDocument/2006/relationships/hyperlink" Id="rId21"/>
    <Relationship TargetMode="External" Target="https://www.legis.iowa.gov/docs/ico/chapter/428.pdf" Type="http://schemas.openxmlformats.org/officeDocument/2006/relationships/hyperlink" Id="rId22"/>
    <Relationship TargetMode="External" Target="https://www.legis.iowa.gov/docs/ico/chapter/433.pdf" Type="http://schemas.openxmlformats.org/officeDocument/2006/relationships/hyperlink" Id="rId23"/>
    <Relationship TargetMode="External" Target="https://www.legis.iowa.gov/docs/ico/chapter/434.pdf" Type="http://schemas.openxmlformats.org/officeDocument/2006/relationships/hyperlink" Id="rId24"/>
    <Relationship TargetMode="External" Target="https://www.legis.iowa.gov/docs/ico/chapter/437.pdf" Type="http://schemas.openxmlformats.org/officeDocument/2006/relationships/hyperlink" Id="rId25"/>
    <Relationship TargetMode="External" Target="https://www.legis.iowa.gov/docs/ico/chapter/437A.pdf" Type="http://schemas.openxmlformats.org/officeDocument/2006/relationships/hyperlink" Id="rId26"/>
    <Relationship TargetMode="External" Target="https://www.legis.iowa.gov/docs/ico/chapter/438.pdf" Type="http://schemas.openxmlformats.org/officeDocument/2006/relationships/hyperlink" Id="rId27"/>
    <Relationship TargetMode="External" Target="https://www.legis.iowa.gov/docs/ico/chapter/446.7.pdf" Type="http://schemas.openxmlformats.org/officeDocument/2006/relationships/hyperlink" Id="rId28"/>
    <Relationship TargetMode="External" Target="https://www.legis.iowa.gov/docs/ico/chapter/445.60.pdf" Type="http://schemas.openxmlformats.org/officeDocument/2006/relationships/hyperlink" Id="rId29"/>
    <Relationship TargetMode="External" Target="https://www.legis.iowa.gov/docs/ico/chapter/614.1.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