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ADMINISTRATION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RENUMBERING CONVERSION TABLE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val="false"/>
          <w:i w:val="false"/>
          <w:color w:val="000000"/>
          <w:sz w:val="22"/>
        </w:rPr>
        <w:t xml:space="preserve">Since 2022, the Iowa department of revenue (department) has made significant changes to the organization of its chapters. Some of these changes were made to generally improve the organization of the rules; others were made to implement Executive Order 10 and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xml:space="preserve">. A table with a comprehensive list of all current and updated chapters is available at the department website: </w:t>
      </w:r>
      <w:hyperlink r:id="rId5">
        <w:r>
          <w:rPr>
            <w:rStyle w:val="Hyperlink"/>
            <w:rFonts w:ascii="Times New Roman" w:hAnsi="Times New Roman"/>
            <w:b w:val="false"/>
            <w:i w:val="false"/>
            <w:color w:val="000000"/>
            <w:sz w:val="22"/>
            <w:u w:val="single"/>
          </w:rPr>
          <w:t>revenue.iowa.gov/resources/law-policy-information/administrative-rules-renumbering-conversion-table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revenue.iowa.gov/resources/law-policy-information/administrative-rules-renumbering-conversion-table"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