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2506</w:t>
      </w:r>
    </w:p>
    <w:p>
      <w:pPr>
        <w:spacing w:before="0" w:after="0"/>
        <w:ind w:left="120"/>
        <w:jc w:val="center"/>
      </w:pPr>
      <w:r>
        <w:rPr>
          <w:rFonts w:ascii="Times New Roman" w:hAnsi="Times New Roman"/>
          <w:b w:val="false"/>
          <w:i w:val="false"/>
          <w:color w:val="000000"/>
          <w:sz w:val="21"/>
        </w:rPr>
        <w:t>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5/6/31</w:t>
      </w:r>
    </w:p>
    <w:p>
      <w:pPr>
        <w:spacing w:before="0" w:after="0"/>
        <w:ind w:left="120"/>
        <w:jc w:val="both"/>
      </w:pPr>
      <w:r>
        <w:rPr>
          <w:rFonts w:ascii="Times New Roman" w:hAnsi="Times New Roman"/>
          <w:b/>
          <w:i w:val="false"/>
          <w:color w:val="000000"/>
          <w:sz w:val="22"/>
        </w:rPr>
        <w:t>7—2506.1</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conducted by the agency, including vendor appeals.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“Contested case”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proceeding defined by Iowa Code section </w:t>
      </w:r>
      <w:hyperlink r:id="rId5">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xml:space="preserve"> and includes any matter defined as a no factual dispute contested case under Iowa Code section </w:t>
      </w:r>
      <w:hyperlink r:id="rId6">
        <w:r>
          <w:rPr>
            <w:rStyle w:val="Hyperlink"/>
            <w:rFonts w:ascii="Times New Roman" w:hAnsi="Times New Roman"/>
            <w:b w:val="false"/>
            <w:i w:val="false"/>
            <w:color w:val="000000"/>
            <w:sz w:val="22"/>
          </w:rPr>
          <w:t>17A.10A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“Issuance”</w:t>
      </w:r>
      <w:r>
        <w:rPr>
          <w:rFonts w:ascii="Times New Roman" w:hAnsi="Times New Roman"/>
          <w:b w:val="false"/>
          <w:i w:val="false"/>
          <w:color w:val="000000"/>
          <w:sz w:val="22"/>
        </w:rPr>
        <w:t> </w:t>
      </w:r>
      <w:r>
        <w:rPr>
          <w:rFonts w:ascii="Times New Roman" w:hAnsi="Times New Roman"/>
          <w:b w:val="false"/>
          <w:i w:val="false"/>
          <w:color w:val="000000"/>
          <w:sz w:val="22"/>
        </w:rPr>
        <w:t>means the date of mailing or electronic filing of a decision or order or date of delivery if service is by other means unless another date is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“Party”</w:t>
      </w:r>
      <w:r>
        <w:rPr>
          <w:rFonts w:ascii="Times New Roman" w:hAnsi="Times New Roman"/>
          <w:b w:val="false"/>
          <w:i w:val="false"/>
          <w:color w:val="000000"/>
          <w:sz w:val="22"/>
        </w:rPr>
        <w:t> </w:t>
      </w:r>
      <w:r>
        <w:rPr>
          <w:rFonts w:ascii="Times New Roman" w:hAnsi="Times New Roman"/>
          <w:b w:val="false"/>
          <w:i w:val="false"/>
          <w:color w:val="000000"/>
          <w:sz w:val="22"/>
        </w:rPr>
        <w:t>means each person named or admitted as a party or properly seeking and entitled as of right to be admitted as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“Presiding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designated pursuant to Iowa Code section </w:t>
      </w:r>
      <w:hyperlink r:id="rId7">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“Proposed decision”</w:t>
      </w:r>
      <w:r>
        <w:rPr>
          <w:rFonts w:ascii="Times New Roman" w:hAnsi="Times New Roman"/>
          <w:b w:val="false"/>
          <w:i w:val="false"/>
          <w:color w:val="000000"/>
          <w:sz w:val="22"/>
        </w:rPr>
        <w:t> </w:t>
      </w:r>
      <w:r>
        <w:rPr>
          <w:rFonts w:ascii="Times New Roman" w:hAnsi="Times New Roman"/>
          <w:b w:val="false"/>
          <w:i w:val="false"/>
          <w:color w:val="000000"/>
          <w:sz w:val="22"/>
        </w:rPr>
        <w:t>means the presiding officer’s recommended findings of fact, conclusions of law, decision, and order in a contested case in which the agency did not preside.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is computed as provided in Iowa Code section </w:t>
      </w:r>
      <w:hyperlink r:id="rId8">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when prohibited by statute. Except for good cause stated in the record, before extending or shortening the time to take any action, the presiding officer will afford all parties an opportunity to be heard or to file written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7—2506.4</w:t>
      </w:r>
      <w:r>
        <w:rPr>
          <w:rFonts w:ascii="Times New Roman" w:hAnsi="Times New Roman"/>
          <w:b/>
          <w:i w:val="false"/>
          <w:color w:val="000000"/>
          <w:sz w:val="22"/>
        </w:rPr>
        <w:t xml:space="preserve">(17A) </w:t>
      </w:r>
      <w:r>
        <w:rPr>
          <w:rFonts w:ascii="Times New Roman" w:hAnsi="Times New Roman"/>
          <w:b/>
          <w:i w:val="false"/>
          <w:color w:val="000000"/>
          <w:sz w:val="22"/>
        </w:rPr>
        <w:t xml:space="preserve">Electronic requests for contested case proceeding.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2506.4(1)</w:t>
      </w:r>
      <w:r>
        <w:rPr>
          <w:rFonts w:ascii="Times New Roman" w:hAnsi="Times New Roman"/>
          <w:b w:val="false"/>
          <w:i w:val="false"/>
          <w:color w:val="000000"/>
          <w:sz w:val="22"/>
        </w:rPr>
        <w:t> </w:t>
      </w:r>
      <w:r>
        <w:rPr>
          <w:rFonts w:ascii="Times New Roman" w:hAnsi="Times New Roman"/>
          <w:b w:val="false"/>
          <w:i w:val="false"/>
          <w:color w:val="000000"/>
          <w:sz w:val="22"/>
        </w:rPr>
        <w:t>A person entitled to a contested case proceeding shall, whenever possible, electronically file written request for such a proceeding within the time specified by the governing rules or statutes or, if no rule or statute sets such a time, the time set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2506.4(2)</w:t>
      </w:r>
      <w:r>
        <w:rPr>
          <w:rFonts w:ascii="Times New Roman" w:hAnsi="Times New Roman"/>
          <w:b w:val="false"/>
          <w:i w:val="false"/>
          <w:color w:val="000000"/>
          <w:sz w:val="22"/>
        </w:rPr>
        <w:t> </w:t>
      </w:r>
      <w:r>
        <w:rPr>
          <w:rFonts w:ascii="Times New Roman" w:hAnsi="Times New Roman"/>
          <w:b w:val="false"/>
          <w:i w:val="false"/>
          <w:color w:val="000000"/>
          <w:sz w:val="22"/>
        </w:rPr>
        <w:t>The request for a contested case proceeding must state the name, email, and address of the requester and identify the specific agency action disputed. Where the requester is represented by an attorney, the request must identify the law or precedent requiring or authorizing the holding of a contested case proceeding and include a short and plain statement of the issues of material fact in dispute.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The agency will deliver notice of a hearing. Delivery shall, whenever possible, be effectuated through electronic means. Otherwise, delivery can be effectuated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Personal service as provided in the Iowa Rules of Civil Procedure;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mail, return receipt requested;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First-class mail;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Publication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must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time, place, and nature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Briefly and plainly, the matters asserted. If a party cannot state the matters in detail when the notice is served, the party may limit the initial notice to a statement of the issues involved but must supplement it with a more definite and detailed statement if requested by another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parties, including the name, address, and telephone number of the person who will advocate for each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procedural rules governing conduct of the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procedural rules governing informal settlement, which can occur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identity of the presiding officer, if known, or, if not, a description of who will serve as presiding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deadline to request under Iowa Code section </w:t>
      </w:r>
      <w:hyperlink r:id="rId9">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and rule </w:t>
      </w:r>
      <w:hyperlink r:id="rId10">
        <w:r>
          <w:rPr>
            <w:rStyle w:val="Hyperlink"/>
            <w:rFonts w:ascii="Times New Roman" w:hAnsi="Times New Roman"/>
            <w:b w:val="false"/>
            <w:i w:val="false"/>
            <w:color w:val="000000"/>
            <w:sz w:val="22"/>
          </w:rPr>
          <w:t>7—2506.6</w:t>
        </w:r>
      </w:hyperlink>
      <w:r>
        <w:rPr>
          <w:rFonts w:ascii="Times New Roman" w:hAnsi="Times New Roman"/>
          <w:b w:val="false"/>
          <w:i w:val="false"/>
          <w:color w:val="000000"/>
          <w:sz w:val="22"/>
        </w:rPr>
        <w:t>(17A) that the presiding officer be an administrative law judge.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2506.6(1)</w:t>
      </w:r>
      <w:r>
        <w:rPr>
          <w:rFonts w:ascii="Times New Roman" w:hAnsi="Times New Roman"/>
          <w:b w:val="false"/>
          <w:i w:val="false"/>
          <w:color w:val="000000"/>
          <w:sz w:val="22"/>
        </w:rPr>
        <w:t> </w:t>
      </w:r>
      <w:r>
        <w:rPr>
          <w:rFonts w:ascii="Times New Roman" w:hAnsi="Times New Roman"/>
          <w:b w:val="false"/>
          <w:i w:val="false"/>
          <w:color w:val="000000"/>
          <w:sz w:val="22"/>
        </w:rPr>
        <w:t>Any party that wants an administrative law judge employed by the department of inspections, appeals, and licensing to serve as the presiding officer must file a request. The deadline for that request is 20 days after service of a notice of hearing that identifies someone other than an administrative law judge as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agency or its designee may deny the request for any of the reasons set forth in Iowa Code section </w:t>
      </w:r>
      <w:hyperlink r:id="rId11">
        <w:r>
          <w:rPr>
            <w:rStyle w:val="Hyperlink"/>
            <w:rFonts w:ascii="Times New Roman" w:hAnsi="Times New Roman"/>
            <w:b w:val="false"/>
            <w:i w:val="false"/>
            <w:color w:val="000000"/>
            <w:sz w:val="22"/>
          </w:rPr>
          <w:t>17A.11(1)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2506.6(3)</w:t>
      </w:r>
      <w:r>
        <w:rPr>
          <w:rFonts w:ascii="Times New Roman" w:hAnsi="Times New Roman"/>
          <w:b w:val="false"/>
          <w:i w:val="false"/>
          <w:color w:val="000000"/>
          <w:sz w:val="22"/>
        </w:rPr>
        <w:t> </w:t>
      </w:r>
      <w:r>
        <w:rPr>
          <w:rFonts w:ascii="Times New Roman" w:hAnsi="Times New Roman"/>
          <w:b w:val="false"/>
          <w:i w:val="false"/>
          <w:color w:val="000000"/>
          <w:sz w:val="22"/>
        </w:rPr>
        <w:t>The agency or its designee is obligated to issue a written ruling specifying the grounds for its decision within 20 days after a request for an administrative law judge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prohibited by law, all final rulings by an administrative law judge acting as presiding officer are subject to appeal to the agency. A party is obligated to seek any available appeal to the agency in order to exhaust available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w:t>
      </w:r>
      <w:r>
        <w:rPr>
          <w:rFonts w:ascii="Times New Roman" w:hAnsi="Times New Roman"/>
          <w:b w:val="false"/>
          <w:i w:val="false"/>
          <w:color w:val="000000"/>
          <w:sz w:val="22"/>
        </w:rPr>
        <w:t> </w:t>
      </w:r>
      <w:r>
        <w:rPr>
          <w:rFonts w:ascii="Times New Roman" w:hAnsi="Times New Roman"/>
          <w:b w:val="false"/>
          <w:i w:val="false"/>
          <w:color w:val="000000"/>
          <w:sz w:val="22"/>
        </w:rPr>
        <w:t>Except as otherwise set forth in law, heads of agencies and members of governmental agencies, when reviewing a proposed decision upon appeal to the agency, have the powers and duties of this chapter applicable to presiding officers.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7—2506.7</w:t>
      </w:r>
      <w:r>
        <w:rPr>
          <w:rFonts w:ascii="Times New Roman" w:hAnsi="Times New Roman"/>
          <w:b/>
          <w:i w:val="false"/>
          <w:color w:val="000000"/>
          <w:sz w:val="22"/>
        </w:rPr>
        <w:t xml:space="preserve">(17A)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Unless otherwise prohibited by law, the parties in a contested case proceeding may waive any portion of this chapter. However, the agency in its discretion may refuse to give effect to such a waiver when it deems the waiver to be inconsistent with the public interest.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or videoconference in which all parties have an opportunity to participate. Other telephone proceedings may be held with the consent of all parties. The presiding officer will determine the location of the parties and witnesses for telephone hearings. The convenience of the witnesses or parties, as well as the nature of the case, must be considered when a location is chosen.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2506.9(1)</w:t>
      </w:r>
      <w:r>
        <w:rPr>
          <w:rFonts w:ascii="Times New Roman" w:hAnsi="Times New Roman"/>
          <w:b w:val="false"/>
          <w:i w:val="false"/>
          <w:color w:val="000000"/>
          <w:sz w:val="22"/>
        </w:rPr>
        <w:t> </w:t>
      </w:r>
      <w:r>
        <w:rPr>
          <w:rFonts w:ascii="Times New Roman" w:hAnsi="Times New Roman"/>
          <w:b w:val="false"/>
          <w:i w:val="false"/>
          <w:color w:val="000000"/>
          <w:sz w:val="22"/>
        </w:rPr>
        <w:t>A presiding officer or other person must withdraw from participation in the making of any proposed or final decision in a contested case if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personal bias or prejudice concerning a party or a representative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personally investigated, prosecuted, or advocated in connection with that case, the specific controversy underlying that case, another pending factually related contested case, or a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subject to the authority, direction or discretion of any person who has personally investigated, prosecuted, or advocated in connection with that contested case, the specific controversy underlying that contested case, or a pending factually related contested case or controversy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acted as counsel to any person who is a private party to that proceeding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Has a personal financial interest in the outcome of the case or any other significant personal interest that could be substantially affected by the outcome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Has a spouse or relative within the third degree of relationship who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party to the case or an officer, director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attorney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Known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Likely to be a material witness in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Has any other legally sufficient cause to withdraw from participation in the decision making in that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“personally investigated” means taking affirmative steps to interview witnesses directly or to obtain documents or other information directly. The term does not include general direction and supervision of assigned investigators, unsolicited receipt of information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that culminates in a contested case. If the presiding officer in the case has received factual information relevant to the merits of a contested case before being assigned as the presiding officer, the presiding officer is obligated to disclose that information to the parties to the extent required by Iowa Code section </w:t>
      </w:r>
      <w:hyperlink r:id="rId12">
        <w:r>
          <w:rPr>
            <w:rStyle w:val="Hyperlink"/>
            <w:rFonts w:ascii="Times New Roman" w:hAnsi="Times New Roman"/>
            <w:b w:val="false"/>
            <w:i w:val="false"/>
            <w:color w:val="000000"/>
            <w:sz w:val="22"/>
          </w:rPr>
          <w:t>17A.17(3)</w:t>
        </w:r>
      </w:hyperlink>
      <w:r>
        <w:rPr>
          <w:rFonts w:ascii="Times New Roman" w:hAnsi="Times New Roman"/>
          <w:b w:val="false"/>
          <w:i w:val="false"/>
          <w:color w:val="000000"/>
          <w:sz w:val="22"/>
        </w:rPr>
        <w:t xml:space="preserve"> and subrules </w:t>
      </w:r>
      <w:hyperlink r:id="rId13">
        <w:r>
          <w:rPr>
            <w:rStyle w:val="Hyperlink"/>
            <w:rFonts w:ascii="Times New Roman" w:hAnsi="Times New Roman"/>
            <w:b w:val="false"/>
            <w:i w:val="false"/>
            <w:color w:val="000000"/>
            <w:sz w:val="22"/>
          </w:rPr>
          <w:t>2506.9(3)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2506.23(9)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2506.9(3)</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that believes a presiding officer is disqualified must file a motion supported by an affidavit in accordance with Iowa Code section </w:t>
      </w:r>
      <w:hyperlink r:id="rId15">
        <w:r>
          <w:rPr>
            <w:rStyle w:val="Hyperlink"/>
            <w:rFonts w:ascii="Times New Roman" w:hAnsi="Times New Roman"/>
            <w:b w:val="false"/>
            <w:i w:val="false"/>
            <w:color w:val="000000"/>
            <w:sz w:val="22"/>
          </w:rPr>
          <w:t>17A.17(7)</w:t>
        </w:r>
      </w:hyperlink>
      <w:r>
        <w:rPr>
          <w:rFonts w:ascii="Times New Roman" w:hAnsi="Times New Roman"/>
          <w:b w:val="false"/>
          <w:i w:val="false"/>
          <w:color w:val="000000"/>
          <w:sz w:val="22"/>
        </w:rPr>
        <w:t>. The motion must be filed as soon as practicable after the reason alleged in the motion becomes known to the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party during the course of the hearing becomes aware of evidence of bias or other grounds for disqualification, the party may move for disqualification at that time but must establish the grounds introducing the evidence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disqualification is required, the presiding officer or other person is obligated to withdraw. If withdrawal is not required, the presiding officer will enter an order to that effect. A party asserting disqualification may seek an interlocutory appeal under rule </w:t>
      </w:r>
      <w:hyperlink r:id="rId16">
        <w:r>
          <w:rPr>
            <w:rStyle w:val="Hyperlink"/>
            <w:rFonts w:ascii="Times New Roman" w:hAnsi="Times New Roman"/>
            <w:b w:val="false"/>
            <w:i w:val="false"/>
            <w:color w:val="000000"/>
            <w:sz w:val="22"/>
          </w:rPr>
          <w:t>7—2506.25</w:t>
        </w:r>
      </w:hyperlink>
      <w:r>
        <w:rPr>
          <w:rFonts w:ascii="Times New Roman" w:hAnsi="Times New Roman"/>
          <w:b w:val="false"/>
          <w:i w:val="false"/>
          <w:color w:val="000000"/>
          <w:sz w:val="22"/>
        </w:rPr>
        <w:t xml:space="preserve">(17A) and seek a stay under rule </w:t>
      </w:r>
      <w:hyperlink r:id="rId17">
        <w:r>
          <w:rPr>
            <w:rStyle w:val="Hyperlink"/>
            <w:rFonts w:ascii="Times New Roman" w:hAnsi="Times New Roman"/>
            <w:b w:val="false"/>
            <w:i w:val="false"/>
            <w:color w:val="000000"/>
            <w:sz w:val="22"/>
          </w:rPr>
          <w:t>7—2506.29</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7—2506.10</w:t>
      </w:r>
      <w:r>
        <w:rPr>
          <w:rFonts w:ascii="Times New Roman" w:hAnsi="Times New Roman"/>
          <w:b/>
          <w:i w:val="false"/>
          <w:color w:val="000000"/>
          <w:sz w:val="22"/>
        </w:rPr>
        <w:t xml:space="preserve">(17A)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presiding officer may consolidate matters at issue in two or more contested case proceedings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matters involve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any of the parties to those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presiding officer may, for good cause shown, order any contested case or portion of a contested case severed.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7—2506.11</w:t>
      </w:r>
      <w:r>
        <w:rPr>
          <w:rFonts w:ascii="Times New Roman" w:hAnsi="Times New Roman"/>
          <w:b/>
          <w:i w:val="false"/>
          <w:color w:val="000000"/>
          <w:sz w:val="22"/>
        </w:rPr>
        <w:t xml:space="preserve">(17A) </w:t>
      </w:r>
      <w:r>
        <w:rPr>
          <w:rFonts w:ascii="Times New Roman" w:hAnsi="Times New Roman"/>
          <w:b/>
          <w:i w:val="false"/>
          <w:color w:val="000000"/>
          <w:sz w:val="22"/>
        </w:rPr>
        <w:t xml:space="preserve">Pleadings.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2506.11(1)</w:t>
      </w:r>
      <w:r>
        <w:rPr>
          <w:rFonts w:ascii="Times New Roman" w:hAnsi="Times New Roman"/>
          <w:b w:val="false"/>
          <w:i w:val="false"/>
          <w:color w:val="000000"/>
          <w:sz w:val="22"/>
        </w:rPr>
        <w:t> </w:t>
      </w:r>
      <w:r>
        <w:rPr>
          <w:rFonts w:ascii="Times New Roman" w:hAnsi="Times New Roman"/>
          <w:b w:val="false"/>
          <w:i/>
          <w:color w:val="000000"/>
          <w:sz w:val="22"/>
        </w:rPr>
        <w:t xml:space="preserve">Filing requirements. </w:t>
      </w:r>
      <w:r>
        <w:rPr>
          <w:rFonts w:ascii="Times New Roman" w:hAnsi="Times New Roman"/>
          <w:b w:val="false"/>
          <w:i w:val="false"/>
          <w:color w:val="000000"/>
          <w:sz w:val="22"/>
        </w:rPr>
        <w:t>Filing requirements may be imposed by rule, by the notice of hearing, or by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2506.11(2)</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necessary petition in a contested case proceeding will be filed within 20 days of delivery of the notice of hearing or subsequent order of the presiding officer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petition will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persons or entities on whose behalf the petition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such relief;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2506.11(3)</w:t>
      </w:r>
      <w:r>
        <w:rPr>
          <w:rFonts w:ascii="Times New Roman" w:hAnsi="Times New Roman"/>
          <w:b w:val="false"/>
          <w:i w:val="false"/>
          <w:color w:val="000000"/>
          <w:sz w:val="22"/>
        </w:rPr>
        <w:t> </w:t>
      </w:r>
      <w:r>
        <w:rPr>
          <w:rFonts w:ascii="Times New Roman" w:hAnsi="Times New Roman"/>
          <w:b w:val="false"/>
          <w:i/>
          <w:color w:val="000000"/>
          <w:sz w:val="22"/>
        </w:rPr>
        <w:t xml:space="preserve">Answer. </w:t>
      </w:r>
      <w:r>
        <w:rPr>
          <w:rFonts w:ascii="Times New Roman" w:hAnsi="Times New Roman"/>
          <w:b w:val="false"/>
          <w:i w:val="false"/>
          <w:color w:val="000000"/>
          <w:sz w:val="22"/>
        </w:rPr>
        <w:t>A party against whom a petition is filed must file an answer within 20 days of service of the petition unless otherwise ordered. A party may instead move to dismiss or apply for a more definite and detailed statement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answer must state on whose behalf it is filed and specifically admit, deny, or otherwise answer all material allegations of the pleading to which it responds. It must state all facts deemed to show an affirmative defense and contain as many additional defenses as the pleader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answer must state the name, address, email, and telephone number of the person filing the answer, the person or entity on whose behalf it is filed, and the attorney representing that person,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allegation in the petition not denied in the answer is considered admitted. If a defense could have been raised in the answer but was not, the presiding officer may refuse to consider it if doing so would prejudice any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2506.11(4)</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notice of hearing, petition, or other charging document may be amended before a responsive pleading has been filed. Amendments to pleadings after a responsive pleading has been filed and to an answer may be allowed with the consent of the other parties or in the discretion of the presiding officer who may impose terms or grant a continuance.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7—2506.12</w:t>
      </w:r>
      <w:r>
        <w:rPr>
          <w:rFonts w:ascii="Times New Roman" w:hAnsi="Times New Roman"/>
          <w:b/>
          <w:i w:val="false"/>
          <w:color w:val="000000"/>
          <w:sz w:val="22"/>
        </w:rPr>
        <w:t xml:space="preserve">(17A) </w:t>
      </w:r>
      <w:r>
        <w:rPr>
          <w:rFonts w:ascii="Times New Roman" w:hAnsi="Times New Roman"/>
          <w:b/>
          <w:i w:val="false"/>
          <w:color w:val="000000"/>
          <w:sz w:val="22"/>
        </w:rPr>
        <w:t xml:space="preserve">Electronic 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2506.12(1)</w:t>
      </w:r>
      <w:r>
        <w:rPr>
          <w:rFonts w:ascii="Times New Roman" w:hAnsi="Times New Roman"/>
          <w:b w:val="false"/>
          <w:i w:val="false"/>
          <w:color w:val="000000"/>
          <w:sz w:val="22"/>
        </w:rPr>
        <w:t> </w:t>
      </w:r>
      <w:r>
        <w:rPr>
          <w:rFonts w:ascii="Times New Roman" w:hAnsi="Times New Roman"/>
          <w:b w:val="false"/>
          <w:i/>
          <w:color w:val="000000"/>
          <w:sz w:val="22"/>
        </w:rPr>
        <w:t xml:space="preserve">Filing and service electronically. </w:t>
      </w:r>
      <w:r>
        <w:rPr>
          <w:rFonts w:ascii="Times New Roman" w:hAnsi="Times New Roman"/>
          <w:b w:val="false"/>
          <w:i w:val="false"/>
          <w:color w:val="000000"/>
          <w:sz w:val="22"/>
        </w:rPr>
        <w:t>Every pleading, motion, document, or other paper that is filed or served shall be executed electronically whenever possible. Filing or service by a non-electronic method can only be upon a showing to the presiding officer of undue hardship to use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2506.12(2)</w:t>
      </w:r>
      <w:r>
        <w:rPr>
          <w:rFonts w:ascii="Times New Roman" w:hAnsi="Times New Roman"/>
          <w:b w:val="false"/>
          <w:i w:val="false"/>
          <w:color w:val="000000"/>
          <w:sz w:val="22"/>
        </w:rPr>
        <w:t> </w:t>
      </w:r>
      <w:r>
        <w:rPr>
          <w:rFonts w:ascii="Times New Roman" w:hAnsi="Times New Roman"/>
          <w:b w:val="false"/>
          <w:i/>
          <w:color w:val="000000"/>
          <w:sz w:val="22"/>
        </w:rPr>
        <w:t xml:space="preserve">When service mandated. </w:t>
      </w:r>
      <w:r>
        <w:rPr>
          <w:rFonts w:ascii="Times New Roman" w:hAnsi="Times New Roman"/>
          <w:b w:val="false"/>
          <w:i w:val="false"/>
          <w:color w:val="000000"/>
          <w:sz w:val="22"/>
        </w:rPr>
        <w:t xml:space="preserve">Except where otherwise provided by law, every pleading, motion, document, or other paper filed in a contested case proceeding and every paper relating to discovery in such a proceeding must be served upon each of the parties of record to the proceeding, including the person designated as advocate or prosecutor for the state or the agency. Service must be at the same time as filing. Except for the original notice of hearing and an application for rehearing, as described in Iowa Code section </w:t>
      </w:r>
      <w:hyperlink r:id="rId18">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2506.12(3)</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 xml:space="preserve">Service upon a party represented by an attorney will be made upon the attorney unless otherwise ordered. Service shall be made electronically or, to the extent permitted in subrule </w:t>
      </w:r>
      <w:hyperlink r:id="rId19">
        <w:r>
          <w:rPr>
            <w:rStyle w:val="Hyperlink"/>
            <w:rFonts w:ascii="Times New Roman" w:hAnsi="Times New Roman"/>
            <w:b w:val="false"/>
            <w:i w:val="false"/>
            <w:color w:val="000000"/>
            <w:sz w:val="22"/>
          </w:rPr>
          <w:t>2506.12(1)</w:t>
        </w:r>
      </w:hyperlink>
      <w:r>
        <w:rPr>
          <w:rFonts w:ascii="Times New Roman" w:hAnsi="Times New Roman"/>
          <w:b w:val="false"/>
          <w:i w:val="false"/>
          <w:color w:val="000000"/>
          <w:sz w:val="22"/>
        </w:rPr>
        <w:t>, by mailing a hard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2506.12(4)</w:t>
      </w:r>
      <w:r>
        <w:rPr>
          <w:rFonts w:ascii="Times New Roman" w:hAnsi="Times New Roman"/>
          <w:b w:val="false"/>
          <w:i w:val="false"/>
          <w:color w:val="000000"/>
          <w:sz w:val="22"/>
        </w:rPr>
        <w:t> </w:t>
      </w:r>
      <w:r>
        <w:rPr>
          <w:rFonts w:ascii="Times New Roman" w:hAnsi="Times New Roman"/>
          <w:b w:val="false"/>
          <w:i/>
          <w:color w:val="000000"/>
          <w:sz w:val="22"/>
        </w:rPr>
        <w:t xml:space="preserve">Filing—when mandated. </w:t>
      </w:r>
      <w:r>
        <w:rPr>
          <w:rFonts w:ascii="Times New Roman" w:hAnsi="Times New Roman"/>
          <w:b w:val="false"/>
          <w:i w:val="false"/>
          <w:color w:val="000000"/>
          <w:sz w:val="22"/>
        </w:rPr>
        <w:t>After the notice of hearing, all pleadings, motions, documents or other papers in a contested case proceeding must be filed with the agency at the agency’s address or agency’s email. All pleadings, motions, documents or other papers that need to be served upon a party must be filed with the agency at the same time they are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2506.12(5)</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submitted to the department of inspections, appeals, and licensing electronic filing system, submitted to a separate agency electronic filing system, delivered to the agency’s address or agency’s email,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2506.12(6)</w:t>
      </w:r>
      <w:r>
        <w:rPr>
          <w:rFonts w:ascii="Times New Roman" w:hAnsi="Times New Roman"/>
          <w:b w:val="false"/>
          <w:i w:val="false"/>
          <w:color w:val="000000"/>
          <w:sz w:val="22"/>
        </w:rPr>
        <w:t> </w:t>
      </w:r>
      <w:r>
        <w:rPr>
          <w:rFonts w:ascii="Times New Roman" w:hAnsi="Times New Roman"/>
          <w:b w:val="false"/>
          <w:i/>
          <w:color w:val="000000"/>
          <w:sz w:val="22"/>
        </w:rPr>
        <w:t xml:space="preserve">Copies by email. </w:t>
      </w:r>
      <w:r>
        <w:rPr>
          <w:rFonts w:ascii="Times New Roman" w:hAnsi="Times New Roman"/>
          <w:b w:val="false"/>
          <w:i w:val="false"/>
          <w:color w:val="000000"/>
          <w:sz w:val="22"/>
        </w:rPr>
        <w:t>Whenever possible, the parties shall provide opposing parties copies of all filings by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2506.12(7)</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In circumstances where non-electronic service is approved by the presiding officer, a proof of mailing is required, which includes either a legible United States Postal Service postmark on the envelope, a certificate of service, or a certification in substantially the following form:</w:t>
      </w:r>
    </w:p>
    <w:p>
      <w:pPr>
        <w:spacing w:before="0" w:after="0"/>
        <w:ind w:left="840"/>
        <w:jc w:val="both"/>
      </w:pPr>
      <w:r>
        <w:rPr>
          <w:rFonts w:ascii="Times New Roman" w:hAnsi="Times New Roman"/>
          <w:b w:val="false"/>
          <w:i w:val="false"/>
          <w:color w:val="000000"/>
          <w:sz w:val="22"/>
        </w:rPr>
        <w:t>I certify under penalty of perjury under the laws of Iowa that, on (date of mailing), I mailed copies of (describe document) addressed to the agency at the agency’s address, and to the names and addresses of the parties listed below by depositing the same in (method of delivery).</w:t>
      </w:r>
    </w:p>
    <w:p>
      <w:pPr>
        <w:spacing w:before="0" w:after="0"/>
        <w:ind w:left="120"/>
        <w:jc w:val="both"/>
      </w:pPr>
      <w:r>
        <w:rPr>
          <w:rFonts w:ascii="Times New Roman" w:hAnsi="Times New Roman"/>
          <w:b w:val="false"/>
          <w:i w:val="false"/>
          <w:color w:val="000000"/>
          <w:sz w:val="22"/>
        </w:rPr>
        <w:t> </w:t>
      </w:r>
    </w:p>
    <w:p>
      <w:pPr>
        <w:spacing w:before="0" w:after="0"/>
        <w:ind w:left="840"/>
        <w:jc w:val="both"/>
      </w:pPr>
      <w:r>
        <w:rPr>
          <w:rFonts w:ascii="Times New Roman" w:hAnsi="Times New Roman"/>
          <w:b w:val="false"/>
          <w:i w:val="false"/>
          <w:color w:val="000000"/>
          <w:sz w:val="22"/>
        </w:rPr>
        <w:t>(Date) (Signature)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2506.13(1)</w:t>
      </w:r>
      <w:r>
        <w:rPr>
          <w:rFonts w:ascii="Times New Roman" w:hAnsi="Times New Roman"/>
          <w:b w:val="false"/>
          <w:i w:val="false"/>
          <w:color w:val="000000"/>
          <w:sz w:val="22"/>
        </w:rPr>
        <w:t> </w:t>
      </w:r>
      <w:r>
        <w:rPr>
          <w:rFonts w:ascii="Times New Roman" w:hAnsi="Times New Roman"/>
          <w:b w:val="false"/>
          <w:i w:val="false"/>
          <w:color w:val="000000"/>
          <w:sz w:val="22"/>
        </w:rPr>
        <w:t xml:space="preserve">Discovery procedures applicable in civil actions are applicable in contested cases. Unless lengthened or shortened by these rules or by order of the presiding officer, time periods for compliance with discovery are as set forth in the Iowa Rules of Civil Procedure. No new discovery under Iowa Rules of Civil Procedure </w:t>
      </w:r>
      <w:r>
        <w:rPr>
          <w:rFonts w:ascii="Times New Roman" w:hAnsi="Times New Roman"/>
          <w:b w:val="false"/>
          <w:i w:val="false"/>
          <w:color w:val="000000"/>
          <w:sz w:val="22"/>
        </w:rPr>
        <w:t>1.509</w:t>
      </w:r>
      <w:r>
        <w:rPr>
          <w:rFonts w:ascii="Times New Roman" w:hAnsi="Times New Roman"/>
          <w:b w:val="false"/>
          <w:i w:val="false"/>
          <w:color w:val="000000"/>
          <w:sz w:val="22"/>
        </w:rPr>
        <w:t xml:space="preserve">, </w:t>
      </w:r>
      <w:r>
        <w:rPr>
          <w:rFonts w:ascii="Times New Roman" w:hAnsi="Times New Roman"/>
          <w:b w:val="false"/>
          <w:i w:val="false"/>
          <w:color w:val="000000"/>
          <w:sz w:val="22"/>
        </w:rPr>
        <w:t>1.510</w:t>
      </w:r>
      <w:r>
        <w:rPr>
          <w:rFonts w:ascii="Times New Roman" w:hAnsi="Times New Roman"/>
          <w:b w:val="false"/>
          <w:i w:val="false"/>
          <w:color w:val="000000"/>
          <w:sz w:val="22"/>
        </w:rPr>
        <w:t xml:space="preserve">, and </w:t>
      </w:r>
      <w:r>
        <w:rPr>
          <w:rFonts w:ascii="Times New Roman" w:hAnsi="Times New Roman"/>
          <w:b w:val="false"/>
          <w:i w:val="false"/>
          <w:color w:val="000000"/>
          <w:sz w:val="22"/>
        </w:rPr>
        <w:t>1.512</w:t>
      </w:r>
      <w:r>
        <w:rPr>
          <w:rFonts w:ascii="Times New Roman" w:hAnsi="Times New Roman"/>
          <w:b w:val="false"/>
          <w:i w:val="false"/>
          <w:color w:val="000000"/>
          <w:sz w:val="22"/>
        </w:rPr>
        <w:t xml:space="preserve"> may be served within 40 days of the scheduled hearing. All discovery must be completed no later than ten days before the scheduled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2506.13(2)</w:t>
      </w:r>
      <w:r>
        <w:rPr>
          <w:rFonts w:ascii="Times New Roman" w:hAnsi="Times New Roman"/>
          <w:b w:val="false"/>
          <w:i w:val="false"/>
          <w:color w:val="000000"/>
          <w:sz w:val="22"/>
        </w:rPr>
        <w:t> </w:t>
      </w:r>
      <w:r>
        <w:rPr>
          <w:rFonts w:ascii="Times New Roman" w:hAnsi="Times New Roman"/>
          <w:b w:val="false"/>
          <w:i w:val="false"/>
          <w:color w:val="000000"/>
          <w:sz w:val="22"/>
        </w:rPr>
        <w:t>Parties must not file motions relating to discovery unless they have first in good faith attempted to resolve the issue with the opposing party. A party filing a discovery motion must certify, under penalty of perjury, that it has made that good-faith attempt. Lack of such a certificate constitutes sufficient grounds for denying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2506.13(3)</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shortened in accordance with subrule </w:t>
      </w:r>
      <w:hyperlink r:id="rId20">
        <w:r>
          <w:rPr>
            <w:rStyle w:val="Hyperlink"/>
            <w:rFonts w:ascii="Times New Roman" w:hAnsi="Times New Roman"/>
            <w:b w:val="false"/>
            <w:i w:val="false"/>
            <w:color w:val="000000"/>
            <w:sz w:val="22"/>
          </w:rPr>
          <w:t>2506.13(1)</w:t>
        </w:r>
      </w:hyperlink>
      <w:r>
        <w:rPr>
          <w:rFonts w:ascii="Times New Roman" w:hAnsi="Times New Roman"/>
          <w:b w:val="false"/>
          <w:i w:val="false"/>
          <w:color w:val="000000"/>
          <w:sz w:val="22"/>
        </w:rPr>
        <w:t>, a discovery motion is ripe for ruling by the presiding officer ten days after the motion is filed. Opposing parties may file a response within that time. The presiding officer may order argument or rule on the parties’ filings.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2506.13(4)</w:t>
      </w:r>
      <w:r>
        <w:rPr>
          <w:rFonts w:ascii="Times New Roman" w:hAnsi="Times New Roman"/>
          <w:b w:val="false"/>
          <w:i w:val="false"/>
          <w:color w:val="000000"/>
          <w:sz w:val="22"/>
        </w:rPr>
        <w:t> </w:t>
      </w:r>
      <w:r>
        <w:rPr>
          <w:rFonts w:ascii="Times New Roman" w:hAnsi="Times New Roman"/>
          <w:b w:val="false"/>
          <w:i w:val="false"/>
          <w:color w:val="000000"/>
          <w:sz w:val="22"/>
        </w:rPr>
        <w:t>Evidence obtained in discovery may be used in the contested case proceeding if that evidence would otherwise be admissible in that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2506.14(1)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must issue a subpoena upon a party’s written request. Unless there is good cause, a party must request a witness subpoena at least three days before the scheduled hearing. The request will include the name, address, email,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as otherwise set forth by law, parties are responsible for serving their own subpoenas and for paying witness fees and mileage expenses. Subpoenas that do not include the required witness fees and mileage expenses are not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2506.14(2)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in accordance with the Iowa Rules of Civil Procedure. A motion to quash or modify a subpoena will be set for argument promptly.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7—2506.15</w:t>
      </w:r>
      <w:r>
        <w:rPr>
          <w:rFonts w:ascii="Times New Roman" w:hAnsi="Times New Roman"/>
          <w:b/>
          <w:i w:val="false"/>
          <w:color w:val="000000"/>
          <w:sz w:val="22"/>
        </w:rPr>
        <w:t xml:space="preserve">(17A)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2506.15(1)</w:t>
      </w:r>
      <w:r>
        <w:rPr>
          <w:rFonts w:ascii="Times New Roman" w:hAnsi="Times New Roman"/>
          <w:b w:val="false"/>
          <w:i w:val="false"/>
          <w:color w:val="000000"/>
          <w:sz w:val="22"/>
        </w:rPr>
        <w:t> </w:t>
      </w:r>
      <w:r>
        <w:rPr>
          <w:rFonts w:ascii="Times New Roman" w:hAnsi="Times New Roman"/>
          <w:b w:val="false"/>
          <w:i w:val="false"/>
          <w:color w:val="000000"/>
          <w:sz w:val="22"/>
        </w:rPr>
        <w:t>Motions are not required to be in a particular form. However, prehearing motions are to be in writing, state the grounds for relief, and state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response to a motion within ten days after the motion is served unless the time period is extended or shortened by rules of the agency or the presiding officer. The presiding officer may consider a failure to respond within the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2506.15(3)</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schedule oral argument on any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2506.15(4)</w:t>
      </w:r>
      <w:r>
        <w:rPr>
          <w:rFonts w:ascii="Times New Roman" w:hAnsi="Times New Roman"/>
          <w:b w:val="false"/>
          <w:i w:val="false"/>
          <w:color w:val="000000"/>
          <w:sz w:val="22"/>
        </w:rPr>
        <w:t> </w:t>
      </w:r>
      <w:r>
        <w:rPr>
          <w:rFonts w:ascii="Times New Roman" w:hAnsi="Times New Roman"/>
          <w:b w:val="false"/>
          <w:i w:val="false"/>
          <w:color w:val="000000"/>
          <w:sz w:val="22"/>
        </w:rPr>
        <w:t>Unless there is good cause, motions pertaining to the hearing, except motions for summary judgment, must be filed and served at least ten days before the date of hearing. This time may be lengthened or shortened by rule of the agency or an order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2506.15(5)</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 Rules of Civil Procedure 1.981 through 1.983 govern motions for summary judgment, except where they conflict with this rule or legal requirements governing contested case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Motions for summary judgment must be filed and served at least 45 days before the scheduled hearing date. Any party resisting the motion then has 15 days to file and serve a resistance. The time fixed for hearing or nonoral submission will be not less than 20 days after the filing of the motion. The presiding officer may by order change any of these deadlines. An order rendering summary judgment on all issues in a contested case is subject to rehearing pursuant to rule </w:t>
      </w:r>
      <w:hyperlink r:id="rId21">
        <w:r>
          <w:rPr>
            <w:rStyle w:val="Hyperlink"/>
            <w:rFonts w:ascii="Times New Roman" w:hAnsi="Times New Roman"/>
            <w:b w:val="false"/>
            <w:i w:val="false"/>
            <w:color w:val="000000"/>
            <w:sz w:val="22"/>
          </w:rPr>
          <w:t>7—2506.28</w:t>
        </w:r>
      </w:hyperlink>
      <w:r>
        <w:rPr>
          <w:rFonts w:ascii="Times New Roman" w:hAnsi="Times New Roman"/>
          <w:b w:val="false"/>
          <w:i w:val="false"/>
          <w:color w:val="000000"/>
          <w:sz w:val="22"/>
        </w:rPr>
        <w:t xml:space="preserve">(17A) and appeal pursuant to rule </w:t>
      </w:r>
      <w:hyperlink r:id="rId22">
        <w:r>
          <w:rPr>
            <w:rStyle w:val="Hyperlink"/>
            <w:rFonts w:ascii="Times New Roman" w:hAnsi="Times New Roman"/>
            <w:b w:val="false"/>
            <w:i w:val="false"/>
            <w:color w:val="000000"/>
            <w:sz w:val="22"/>
          </w:rPr>
          <w:t>7—2506.27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will be filed not less than seven days before the hearing date. A prehearing conference will be scheduled not less than three business days before the hearing date. The presiding officer may change these deadlines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2506.16(2)</w:t>
      </w:r>
      <w:r>
        <w:rPr>
          <w:rFonts w:ascii="Times New Roman" w:hAnsi="Times New Roman"/>
          <w:b w:val="false"/>
          <w:i w:val="false"/>
          <w:color w:val="000000"/>
          <w:sz w:val="22"/>
        </w:rPr>
        <w:t> </w:t>
      </w:r>
      <w:r>
        <w:rPr>
          <w:rFonts w:ascii="Times New Roman" w:hAnsi="Times New Roman"/>
          <w:b w:val="false"/>
          <w:i w:val="false"/>
          <w:color w:val="000000"/>
          <w:sz w:val="22"/>
        </w:rPr>
        <w:t>Witness and exhibit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party will bring to the prehearing conference a final list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witnesses whom the party anticipates will testify at hearing. Unless there is good cause for the omission, the presiding officer may exclude the testimony of unlisted witnesses;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Exhibits that the party anticipates will be introduced at hearing. Unless there is good cause for the omission, the presiding officer may exclude unlisted, non-rebuttal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are to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2506.16(3)</w:t>
      </w:r>
      <w:r>
        <w:rPr>
          <w:rFonts w:ascii="Times New Roman" w:hAnsi="Times New Roman"/>
          <w:b w:val="false"/>
          <w:i w:val="false"/>
          <w:color w:val="000000"/>
          <w:sz w:val="22"/>
        </w:rPr>
        <w:t> </w:t>
      </w:r>
      <w:r>
        <w:rPr>
          <w:rFonts w:ascii="Times New Roman" w:hAnsi="Times New Roman"/>
          <w:b w:val="false"/>
          <w:i w:val="false"/>
          <w:color w:val="000000"/>
          <w:sz w:val="22"/>
        </w:rPr>
        <w:t>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Stipulate to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Stipulate to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that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that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2506.16(4)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will be conducted by telephone unless otherwise ordered. Parties are obligated to exchange and receive witness and exhibit lists before the conference.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Applications for continuances can be made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a continuance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at the earliest possible time and no less than seven days before the hearing, except in case of unanticipated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 party’s representative.</w:t>
      </w:r>
    </w:p>
    <w:p>
      <w:pPr>
        <w:spacing w:before="0" w:after="0"/>
        <w:ind w:left="120"/>
        <w:jc w:val="both"/>
      </w:pPr>
      <w:r>
        <w:rPr>
          <w:rFonts w:ascii="Times New Roman" w:hAnsi="Times New Roman"/>
          <w:b w:val="false"/>
          <w:i w:val="false"/>
          <w:color w:val="000000"/>
          <w:sz w:val="22"/>
        </w:rPr>
        <w:t>No application for continuance will be made or granted without notice to all parties, except in an emergency where notice is not feasible. The agency may waive notice of such requests for a particular case or an entire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2506.17(2)</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to grant a continuance, the presiding officer may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existence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time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parties, or witnesses;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Other relevant factors.</w:t>
      </w:r>
    </w:p>
    <w:p>
      <w:pPr>
        <w:spacing w:before="0" w:after="0"/>
        <w:ind w:left="120"/>
        <w:jc w:val="both"/>
      </w:pPr>
      <w:r>
        <w:rPr>
          <w:rFonts w:ascii="Times New Roman" w:hAnsi="Times New Roman"/>
          <w:b w:val="false"/>
          <w:i w:val="false"/>
          <w:color w:val="000000"/>
          <w:sz w:val="22"/>
        </w:rPr>
        <w:t>The presiding officer may order a party to furnish evidence of facts supporting or opposing the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7—2506.18</w:t>
      </w:r>
      <w:r>
        <w:rPr>
          <w:rFonts w:ascii="Times New Roman" w:hAnsi="Times New Roman"/>
          <w:b/>
          <w:i w:val="false"/>
          <w:color w:val="000000"/>
          <w:sz w:val="22"/>
        </w:rPr>
        <w:t xml:space="preserve">(17A) </w:t>
      </w:r>
      <w:r>
        <w:rPr>
          <w:rFonts w:ascii="Times New Roman" w:hAnsi="Times New Roman"/>
          <w:b/>
          <w:i w:val="false"/>
          <w:color w:val="000000"/>
          <w:sz w:val="22"/>
        </w:rPr>
        <w:t xml:space="preserve">Withdrawals. </w:t>
      </w:r>
      <w:r>
        <w:rPr>
          <w:rFonts w:ascii="Times New Roman" w:hAnsi="Times New Roman"/>
          <w:b w:val="false"/>
          <w:i w:val="false"/>
          <w:color w:val="000000"/>
          <w:sz w:val="22"/>
        </w:rPr>
        <w:t>A party requesting a contested case proceeding may withdraw that request only in accordance with agency rules. Unless otherwise provided, a withdrawal will be with prejudice.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7—2506.19</w:t>
      </w:r>
      <w:r>
        <w:rPr>
          <w:rFonts w:ascii="Times New Roman" w:hAnsi="Times New Roman"/>
          <w:b/>
          <w:i w:val="false"/>
          <w:color w:val="000000"/>
          <w:sz w:val="22"/>
        </w:rPr>
        <w:t xml:space="preserve">(17A)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in a contested case proceeding must state the grounds for the proposed intervention, the position and interest of the proposed intervenor, and the possible impact of intervention on the proceeding. The proposed intervenor must attach a proposed answer or petition in intervention, as appropriate, to the motion. Any party may file a response within 14 days of service of the motion to intervene unless the time period is extended or shortened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A motion for leave to intervene must be filed as early as possible to avoid prejudice on existing parties or the conduct of the proceeding and, at any rate, before the prehearing conference, if any, or at least 20 days before the date scheduled for hearing. Later motions must show good cause for being untimely. Unless inequitable or unjust, an intervenor is bound by any agreement, arrangement, or other matter previously raised in the case. Requests by untimely intervenors for continuances that would delay the proceeding will ordinarily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proposed intervenor must show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likely to be aggrieved or adversely affected by a final order in the proceeding;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Its interests are not adequately represented by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A person granted leave to intervene is a party to the proceeding. If appropriate, the presiding officer may order consolidation of the petitions and briefs of different parties whose interests are aligned with each other and limit the number of representatives allowed to participate actively in the proceedings. The order granting intervention may limit the issues the intervenor is allowed to raise or otherwise condition the intervenor’s participation in the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presides at the hearing and may rule on motions, impose obligations to submit briefs, issue a proposed decision, and issue orders and rulings to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2506.20(2)</w:t>
      </w:r>
      <w:r>
        <w:rPr>
          <w:rFonts w:ascii="Times New Roman" w:hAnsi="Times New Roman"/>
          <w:b w:val="false"/>
          <w:i w:val="false"/>
          <w:color w:val="000000"/>
          <w:sz w:val="22"/>
        </w:rPr>
        <w:t> </w:t>
      </w:r>
      <w:r>
        <w:rPr>
          <w:rFonts w:ascii="Times New Roman" w:hAnsi="Times New Roman"/>
          <w:b w:val="false"/>
          <w:i w:val="false"/>
          <w:color w:val="000000"/>
          <w:sz w:val="22"/>
        </w:rPr>
        <w:t>All objections must be made timely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2506.20(3)</w:t>
      </w:r>
      <w:r>
        <w:rPr>
          <w:rFonts w:ascii="Times New Roman" w:hAnsi="Times New Roman"/>
          <w:b w:val="false"/>
          <w:i w:val="false"/>
          <w:color w:val="000000"/>
          <w:sz w:val="22"/>
        </w:rPr>
        <w:t> </w:t>
      </w:r>
      <w:r>
        <w:rPr>
          <w:rFonts w:ascii="Times New Roman" w:hAnsi="Times New Roman"/>
          <w:b w:val="false"/>
          <w:i w:val="false"/>
          <w:color w:val="000000"/>
          <w:sz w:val="22"/>
        </w:rPr>
        <w:t xml:space="preserve">Parties have the right to participate or to be represented in all hearings or prehearing conferences related to their case. Partnerships, corporations, limited-liability companies, and associations may be represented by any member, officer, director, or duly authorized agent. Any party may be represented by an attorney or another person authorized by law. An attorney admitted pro hoc vice in accordance with the Iowa rules of court to practice in an agency administrative action in accordance with </w:t>
      </w:r>
      <w:r>
        <w:rPr>
          <w:rFonts w:ascii="Times New Roman" w:hAnsi="Times New Roman"/>
          <w:b w:val="false"/>
          <w:i w:val="false"/>
          <w:color w:val="000000"/>
          <w:sz w:val="22"/>
        </w:rPr>
        <w:t>Iowa Court Rule 31.14</w:t>
      </w:r>
      <w:r>
        <w:rPr>
          <w:rFonts w:ascii="Times New Roman" w:hAnsi="Times New Roman"/>
          <w:b w:val="false"/>
          <w:i w:val="false"/>
          <w:color w:val="000000"/>
          <w:sz w:val="22"/>
        </w:rPr>
        <w:t xml:space="preserve"> is obligated to have an in-state attorney present at every interaction with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2506.20(4)</w:t>
      </w:r>
      <w:r>
        <w:rPr>
          <w:rFonts w:ascii="Times New Roman" w:hAnsi="Times New Roman"/>
          <w:b w:val="false"/>
          <w:i w:val="false"/>
          <w:color w:val="000000"/>
          <w:sz w:val="22"/>
        </w:rPr>
        <w:t> </w:t>
      </w:r>
      <w:r>
        <w:rPr>
          <w:rFonts w:ascii="Times New Roman" w:hAnsi="Times New Roman"/>
          <w:b w:val="false"/>
          <w:i w:val="false"/>
          <w:color w:val="000000"/>
          <w:sz w:val="22"/>
        </w:rPr>
        <w:t>Subject to terms and conditions prescribed by the presiding officer, parties have the right to introduce evidence on issues of material fact, cross-examine witnesses present at the hearing as necessary for a full and true disclosure of the facts, present evidence in rebuttal, and submit briefs and engage in oral argument.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2506.20(5)</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2506.20(7)</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must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give an opening statement briefly describing the nature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will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will present their cases in the sequence determined by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witness will be sworn or affirmed by the presiding officer or the court reporter and be subject to examination and cross-examination. The presiding officer may limit questioning in a manner consistent with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may be given the opportunity to present final arguments.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will rule on admissibility of evidence as provided in Iowa Code section </w:t>
      </w:r>
      <w:hyperlink r:id="rId23">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and may, where appropriate, take official notice of facts in accordance with all applicable legal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presiding officer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2506.21(3)</w:t>
      </w:r>
      <w:r>
        <w:rPr>
          <w:rFonts w:ascii="Times New Roman" w:hAnsi="Times New Roman"/>
          <w:b w:val="false"/>
          <w:i w:val="false"/>
          <w:color w:val="000000"/>
          <w:sz w:val="22"/>
        </w:rPr>
        <w:t> </w:t>
      </w:r>
      <w:r>
        <w:rPr>
          <w:rFonts w:ascii="Times New Roman" w:hAnsi="Times New Roman"/>
          <w:b w:val="false"/>
          <w:i w:val="false"/>
          <w:color w:val="000000"/>
          <w:sz w:val="22"/>
        </w:rPr>
        <w:t>Evidence in the proceeding will be confined to the issues identified at the prehearing conference or in the notice of hearing, as appropriate. A party may waive its right to prehearing notice. The presiding officer may, for good cause, expand the issues to be considered and admit evidence on those issues. In that case, a party that objects to the expansion is, upon timely request, entitled to a continuance sufficient to amend pleadings and to prepare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will not rule on the admissibility of an exhibit until opposing parties have had an opportunity to examine it. Parties should ordinarily furnish copies of exhibits to opposing parties before a hearing to prevent unnecessary delay during the hearing. All exhibits admitted into evidence will be appropriately marked and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request limits on the scope of any examination or cross-examination. Each objection must be accompanied by a brief statement of the grounds upon which it is based. The objection, the ruling on the objection, and the reasons for the ruling will be noted in the record. The presiding officer may rule on the objection when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will briefly summarize the testimony or, with permission of the presiding officer, present the testimony. If the excluded evidence is a document or exhibit, it will be marked as part of an offer of proof and inserted in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2506.22(1)</w:t>
      </w:r>
      <w:r>
        <w:rPr>
          <w:rFonts w:ascii="Times New Roman" w:hAnsi="Times New Roman"/>
          <w:b w:val="false"/>
          <w:i w:val="false"/>
          <w:color w:val="000000"/>
          <w:sz w:val="22"/>
        </w:rPr>
        <w:t> </w:t>
      </w:r>
      <w:r>
        <w:rPr>
          <w:rFonts w:ascii="Times New Roman" w:hAnsi="Times New Roman"/>
          <w:b w:val="false"/>
          <w:i w:val="false"/>
          <w:color w:val="000000"/>
          <w:sz w:val="22"/>
        </w:rPr>
        <w:t>If a party does not appear or participate in a contested case proceeding after proper notice, the presiding officer may render a default or proceed with the hearing and render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any party may move for default against a party who has requested the contested case proceeding and has not filed a necessary pleading or has not appeared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2506.22(3)</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decisions and decisions rendered on the merits after a party has not appeared or participated are final agency actions from which a party may appeal under rule </w:t>
      </w:r>
      <w:hyperlink r:id="rId24">
        <w:r>
          <w:rPr>
            <w:rStyle w:val="Hyperlink"/>
            <w:rFonts w:ascii="Times New Roman" w:hAnsi="Times New Roman"/>
            <w:b w:val="false"/>
            <w:i w:val="false"/>
            <w:color w:val="000000"/>
            <w:sz w:val="22"/>
          </w:rPr>
          <w:t>7—2506.27</w:t>
        </w:r>
      </w:hyperlink>
      <w:r>
        <w:rPr>
          <w:rFonts w:ascii="Times New Roman" w:hAnsi="Times New Roman"/>
          <w:b w:val="false"/>
          <w:i w:val="false"/>
          <w:color w:val="000000"/>
          <w:sz w:val="22"/>
        </w:rPr>
        <w:t>(17A). A party against whom such a decision has been rendered may file a motion to vacate within 15 days, or other period specified by statute, after the date of notification or mailing of the decision. A motion to vacate must state all facts that establish good cause for that party’s non-appearance or non-participation. Each such fact must be supported by at least one sworn affidavit of a person with personal knowledge, which affidavit must be attached to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is stayed while a timely motion to vacate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2506.22(5)</w:t>
      </w:r>
      <w:r>
        <w:rPr>
          <w:rFonts w:ascii="Times New Roman" w:hAnsi="Times New Roman"/>
          <w:b w:val="false"/>
          <w:i w:val="false"/>
          <w:color w:val="000000"/>
          <w:sz w:val="22"/>
        </w:rPr>
        <w:t> </w:t>
      </w:r>
      <w:r>
        <w:rPr>
          <w:rFonts w:ascii="Times New Roman" w:hAnsi="Times New Roman"/>
          <w:b w:val="false"/>
          <w:i w:val="false"/>
          <w:color w:val="000000"/>
          <w:sz w:val="22"/>
        </w:rPr>
        <w:t>A presiding officer may grant a motion to vacate only if it is timely and establishes good cause for the movant’s non-appearance or non-participation. The burden of proof as to good cause is on the moving party. Opposed parties have ten days to respond to a motion to vacate. If the response includes a request to do so, an opposing party may conduct discovery into the issue of good cause and present evidence on that issue before the presiding officer decides the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2506.22(6)</w:t>
      </w:r>
      <w:r>
        <w:rPr>
          <w:rFonts w:ascii="Times New Roman" w:hAnsi="Times New Roman"/>
          <w:b w:val="false"/>
          <w:i w:val="false"/>
          <w:color w:val="000000"/>
          <w:sz w:val="22"/>
        </w:rPr>
        <w:t> </w:t>
      </w:r>
      <w:r>
        <w:rPr>
          <w:rFonts w:ascii="Times New Roman" w:hAnsi="Times New Roman"/>
          <w:b w:val="false"/>
          <w:i w:val="false"/>
          <w:color w:val="000000"/>
          <w:sz w:val="22"/>
        </w:rPr>
        <w:t xml:space="preserve">“Good cause” for purposes of this rule has the same meaning as “good cause” for setting aside a default judgment under Iowa </w:t>
      </w:r>
      <w:r>
        <w:rPr>
          <w:rFonts w:ascii="Times New Roman" w:hAnsi="Times New Roman"/>
          <w:b w:val="false"/>
          <w:i w:val="false"/>
          <w:color w:val="000000"/>
          <w:sz w:val="22"/>
        </w:rPr>
        <w:t>Rule of Civil Procedure 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within the time limit allowed for further appeal of a decision on the merits in the contested case proceeding. A decision granting a motion to vacate is subject to interlocutory appeal by the adverse party pursuant to rule </w:t>
      </w:r>
      <w:hyperlink r:id="rId25">
        <w:r>
          <w:rPr>
            <w:rStyle w:val="Hyperlink"/>
            <w:rFonts w:ascii="Times New Roman" w:hAnsi="Times New Roman"/>
            <w:b w:val="false"/>
            <w:i w:val="false"/>
            <w:color w:val="000000"/>
            <w:sz w:val="22"/>
          </w:rPr>
          <w:t>7—2506.25</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2506.22(8)</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will issue another notice of hearing and the contested case will proceed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2506.22(9)</w:t>
      </w:r>
      <w:r>
        <w:rPr>
          <w:rFonts w:ascii="Times New Roman" w:hAnsi="Times New Roman"/>
          <w:b w:val="false"/>
          <w:i w:val="false"/>
          <w:color w:val="000000"/>
          <w:sz w:val="22"/>
        </w:rPr>
        <w:t> </w:t>
      </w:r>
      <w:r>
        <w:rPr>
          <w:rFonts w:ascii="Times New Roman" w:hAnsi="Times New Roman"/>
          <w:b w:val="false"/>
          <w:i w:val="false"/>
          <w:color w:val="000000"/>
          <w:sz w:val="22"/>
        </w:rPr>
        <w:t>A default decision may award any relief consistent with the request for relief made in the petition and embraced in its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2506.22(10)</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may provide either that the default decision is to be stayed pending a timely motion to vacate or that the default decision is to take effect immediately, subject to a request for stay under rule </w:t>
      </w:r>
      <w:hyperlink r:id="rId26">
        <w:r>
          <w:rPr>
            <w:rStyle w:val="Hyperlink"/>
            <w:rFonts w:ascii="Times New Roman" w:hAnsi="Times New Roman"/>
            <w:b w:val="false"/>
            <w:i w:val="false"/>
            <w:color w:val="000000"/>
            <w:sz w:val="22"/>
          </w:rPr>
          <w:t>7—2506.29</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2506.23(1)</w:t>
      </w:r>
      <w:r>
        <w:rPr>
          <w:rFonts w:ascii="Times New Roman" w:hAnsi="Times New Roman"/>
          <w:b w:val="false"/>
          <w:i w:val="false"/>
          <w:color w:val="000000"/>
          <w:sz w:val="22"/>
        </w:rPr>
        <w:t> </w:t>
      </w:r>
      <w:r>
        <w:rPr>
          <w:rFonts w:ascii="Times New Roman" w:hAnsi="Times New Roman"/>
          <w:b w:val="false"/>
          <w:i w:val="false"/>
          <w:color w:val="000000"/>
          <w:sz w:val="22"/>
        </w:rPr>
        <w:t>Improper communications. Except as specifically allowed by law, no party, representative of a party, or person with a direct or indirect interest in a case may communicate, directly or indirectly, with the presiding officer, or vice versa, regarding the case or a pending factually related case. These communications are allowed only if all parties have been notified of the intention to communicate and have an opportunity to participate. This does not prohibit persons jointly assigned such tasks from communicating with each other. However, the presiding officer may communicate with members of the agency and may seek the advice or help of persons regarding the matter. This can include persons with whom the presiding officer is prohibited from communicating in another case, as long as the presiding officer’s communications with that person are not regarding that other case or a case factually related to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2506.23(2)</w:t>
      </w:r>
      <w:r>
        <w:rPr>
          <w:rFonts w:ascii="Times New Roman" w:hAnsi="Times New Roman"/>
          <w:b w:val="false"/>
          <w:i w:val="false"/>
          <w:color w:val="000000"/>
          <w:sz w:val="22"/>
        </w:rPr>
        <w:t> </w:t>
      </w:r>
      <w:r>
        <w:rPr>
          <w:rFonts w:ascii="Times New Roman" w:hAnsi="Times New Roman"/>
          <w:b w:val="false"/>
          <w:i w:val="false"/>
          <w:color w:val="000000"/>
          <w:sz w:val="22"/>
        </w:rPr>
        <w:t>Written, oral, or other forms of communication are “ex parte” if made without notice and opportunity for all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2506.23(3)</w:t>
      </w:r>
      <w:r>
        <w:rPr>
          <w:rFonts w:ascii="Times New Roman" w:hAnsi="Times New Roman"/>
          <w:b w:val="false"/>
          <w:i w:val="false"/>
          <w:color w:val="000000"/>
          <w:sz w:val="22"/>
        </w:rPr>
        <w:t> </w:t>
      </w:r>
      <w:r>
        <w:rPr>
          <w:rFonts w:ascii="Times New Roman" w:hAnsi="Times New Roman"/>
          <w:b w:val="false"/>
          <w:i w:val="false"/>
          <w:color w:val="000000"/>
          <w:sz w:val="22"/>
        </w:rPr>
        <w:t>These prohibitions start when the notice of hearing is issued and continue for as long as the case is pending.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2506.23(4)</w:t>
      </w:r>
      <w:r>
        <w:rPr>
          <w:rFonts w:ascii="Times New Roman" w:hAnsi="Times New Roman"/>
          <w:b w:val="false"/>
          <w:i w:val="false"/>
          <w:color w:val="000000"/>
          <w:sz w:val="22"/>
        </w:rPr>
        <w:t> </w:t>
      </w:r>
      <w:r>
        <w:rPr>
          <w:rFonts w:ascii="Times New Roman" w:hAnsi="Times New Roman"/>
          <w:b w:val="false"/>
          <w:i w:val="false"/>
          <w:color w:val="000000"/>
          <w:sz w:val="22"/>
        </w:rPr>
        <w:t xml:space="preserve">To avoid banned ex parte communications, notice is to be given in a manner reasonably calculated to give all parties a fair opportunity to participate. Notice of written communications will be provided in compliance with rule </w:t>
      </w:r>
      <w:hyperlink r:id="rId27">
        <w:r>
          <w:rPr>
            <w:rStyle w:val="Hyperlink"/>
            <w:rFonts w:ascii="Times New Roman" w:hAnsi="Times New Roman"/>
            <w:b w:val="false"/>
            <w:i w:val="false"/>
            <w:color w:val="000000"/>
            <w:sz w:val="22"/>
          </w:rPr>
          <w:t>7—2506.12</w:t>
        </w:r>
      </w:hyperlink>
      <w:r>
        <w:rPr>
          <w:rFonts w:ascii="Times New Roman" w:hAnsi="Times New Roman"/>
          <w:b w:val="false"/>
          <w:i w:val="false"/>
          <w:color w:val="000000"/>
          <w:sz w:val="22"/>
        </w:rPr>
        <w:t>(17A) and may be supplemented by telephone, fax, email or other means of notification. Where permitted, oral communications may be initiated through conference telephone call including all parties or their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2506.23(5)</w:t>
      </w:r>
      <w:r>
        <w:rPr>
          <w:rFonts w:ascii="Times New Roman" w:hAnsi="Times New Roman"/>
          <w:b w:val="false"/>
          <w:i w:val="false"/>
          <w:color w:val="000000"/>
          <w:sz w:val="22"/>
        </w:rPr>
        <w:t> </w:t>
      </w:r>
      <w:r>
        <w:rPr>
          <w:rFonts w:ascii="Times New Roman" w:hAnsi="Times New Roman"/>
          <w:b w:val="false"/>
          <w:i w:val="false"/>
          <w:color w:val="000000"/>
          <w:sz w:val="22"/>
        </w:rPr>
        <w:t>Persons who jointly act as presiding officer in a pending contested case may communicate with each other without notice or opportunity for parties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or other persons may be present in deliberations or otherwise advise the presiding officer without notice or opportunity for parties to participate as long as they are not disqualified from participating in the making of a proposed or final decision and they comply with subrule </w:t>
      </w:r>
      <w:hyperlink r:id="rId28">
        <w:r>
          <w:rPr>
            <w:rStyle w:val="Hyperlink"/>
            <w:rFonts w:ascii="Times New Roman" w:hAnsi="Times New Roman"/>
            <w:b w:val="false"/>
            <w:i w:val="false"/>
            <w:color w:val="000000"/>
            <w:sz w:val="22"/>
          </w:rPr>
          <w:t>2506.23(1)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2506.23(7)</w:t>
      </w:r>
      <w:r>
        <w:rPr>
          <w:rFonts w:ascii="Times New Roman" w:hAnsi="Times New Roman"/>
          <w:b w:val="false"/>
          <w:i w:val="false"/>
          <w:color w:val="000000"/>
          <w:sz w:val="22"/>
        </w:rPr>
        <w:t> </w:t>
      </w:r>
      <w:r>
        <w:rPr>
          <w:rFonts w:ascii="Times New Roman" w:hAnsi="Times New Roman"/>
          <w:b w:val="false"/>
          <w:i w:val="false"/>
          <w:color w:val="000000"/>
          <w:sz w:val="22"/>
        </w:rPr>
        <w:t>Communications with the presiding officer involving uncontested scheduling or procedural matters do not need notice or opportunity for parties to participate. Parties should notify other parties prior to initiating such contact with the presiding officer when possible and must notify other parties when seeking to continue hearings or other deadlines.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2506.23(8)</w:t>
      </w:r>
      <w:r>
        <w:rPr>
          <w:rFonts w:ascii="Times New Roman" w:hAnsi="Times New Roman"/>
          <w:b w:val="false"/>
          <w:i w:val="false"/>
          <w:color w:val="000000"/>
          <w:sz w:val="22"/>
        </w:rPr>
        <w:t> </w:t>
      </w:r>
      <w:r>
        <w:rPr>
          <w:rFonts w:ascii="Times New Roman" w:hAnsi="Times New Roman"/>
          <w:b w:val="false"/>
          <w:i w:val="false"/>
          <w:color w:val="000000"/>
          <w:sz w:val="22"/>
        </w:rPr>
        <w:t>Disclosure of banned communications. A presiding officer who receives a banned ex parte communication while a contested case is pending must first determine whether the communication is so prejudicial that the presiding officer should be disqualified. If so, the presiding officer will enter into the record, sealed by a protective order, a copy of any banned written communication, all written responses to the communication, a written summary of the substance of any banned oral or other communication, all responses made, and the identity of each person from whom the presiding officer received a banned ex parte communication. If the presiding officer determines that disqualification is not warranted, the presiding officer will enter these documents into the record and serve them upon all parties. Any party desiring to rebut the banned communication will be allowed the opportunity to do so upon written request filed within ten days after notice of the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2506.23(9)</w:t>
      </w:r>
      <w:r>
        <w:rPr>
          <w:rFonts w:ascii="Times New Roman" w:hAnsi="Times New Roman"/>
          <w:b w:val="false"/>
          <w:i w:val="false"/>
          <w:color w:val="000000"/>
          <w:sz w:val="22"/>
        </w:rPr>
        <w:t> </w:t>
      </w:r>
      <w:r>
        <w:rPr>
          <w:rFonts w:ascii="Times New Roman" w:hAnsi="Times New Roman"/>
          <w:b w:val="false"/>
          <w:i w:val="false"/>
          <w:color w:val="000000"/>
          <w:sz w:val="22"/>
        </w:rPr>
        <w:t xml:space="preserve">Promptly after being assigned to serve as presiding officer at any stage in a contested case proceeding, a presiding officer must disclose to all parties material factual information received through ex parte communication before the assignment began. The presiding officer does not need to disclose this information if it has already been, or shortly will be, disclosed under Iowa Code section </w:t>
      </w:r>
      <w:hyperlink r:id="rId29">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or through discovery or if it is contained in an investigative report or similar document that has been or shortly will be given to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2506.23(10)</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render a proposed or final decision imposing appropriate sanctions for violations of this rule including default, a decision against the offending party, censure, or suspension or revocation of the privilege to practice before the agency. Violation of ex parte communication obligations by agency personnel will be reported to the chief executive of the agency or that person’s designee for possible sanctions including censure, suspension, dismissal, or other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7—2506.24</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Upon reasonable request, the agency is obligated to provide a copy of the whole or any portion of the record at cost. The cost of preparing a copy of the record or of transcribing the hearing record will be paid by the requesting party. A party that requests that a hearing be recorded by certified shorthand reporter rather than by electronic means is responsible for making such arrangements and paying associated costs unless otherwise provided by applicable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on its own motion, the agency may review an interlocutory order. In determining whether to do so, the agency must weigh the extent to which the granting of the interlocutory appeal would expedite final resolution of the case and the extent to which review of that interlocutory order by the agency at the time it reviews the proposed decision of the presiding officer would provide an adequate remedy. A request for interlocutory review must be filed by the earliest of 14 days after the challenged order is issued, the deadline for complying with the order, or the date of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2506.26(1)</w:t>
      </w:r>
      <w:r>
        <w:rPr>
          <w:rFonts w:ascii="Times New Roman" w:hAnsi="Times New Roman"/>
          <w:b w:val="false"/>
          <w:i w:val="false"/>
          <w:color w:val="000000"/>
          <w:sz w:val="22"/>
        </w:rPr>
        <w:t> </w:t>
      </w:r>
      <w:r>
        <w:rPr>
          <w:rFonts w:ascii="Times New Roman" w:hAnsi="Times New Roman"/>
          <w:b w:val="false"/>
          <w:i w:val="false"/>
          <w:color w:val="000000"/>
          <w:sz w:val="22"/>
        </w:rPr>
        <w:t>When the agency presides over receiving evidence at the hearing, its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agency does not preside over receiving evidence, the presiding officer will issue a proposed decision. The proposed decision becomes the final decision of the agency without further proceedings unless there is an appeal of the proposed decision to the agency, or review of the proposed decision on the agency’s own motion, in accordance with rule </w:t>
      </w:r>
      <w:hyperlink r:id="rId30">
        <w:r>
          <w:rPr>
            <w:rStyle w:val="Hyperlink"/>
            <w:rFonts w:ascii="Times New Roman" w:hAnsi="Times New Roman"/>
            <w:b w:val="false"/>
            <w:i w:val="false"/>
            <w:color w:val="000000"/>
            <w:sz w:val="22"/>
          </w:rPr>
          <w:t>7—2506.27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agency within 30 days after the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agency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agency. The notice of appeal is to be signed by the appealing party or a representative of that party and contain a certificate of service. The notice will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to submit additional evidence. The request must be filed with the notice of appeal, if by an appealing party, or within 14 days of service of the notice of appeal, if by a non-appealing party. The agency will take additional evidence only if the party establishes that the evidence is material, that good cause existed for its not being presented at the hearing, and that the party has not waived the right to present the evidence. The agency may remand a case to the presiding officer to take additional evidence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agency will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will include any applicable legal authority and specify relevant portions of the record in that proceeding. Written requests to present oral argument will be filed with the briefs. The agency may resolve the appeal on the briefs or provide an opportunity for oral argument. The agency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7—2506.28</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Applications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2506.28(1)</w:t>
      </w:r>
      <w:r>
        <w:rPr>
          <w:rFonts w:ascii="Times New Roman" w:hAnsi="Times New Roman"/>
          <w:b w:val="false"/>
          <w:i w:val="false"/>
          <w:color w:val="000000"/>
          <w:sz w:val="22"/>
        </w:rPr>
        <w:t> </w:t>
      </w:r>
      <w:r>
        <w:rPr>
          <w:rFonts w:ascii="Times New Roman" w:hAnsi="Times New Roman"/>
          <w:b w:val="false"/>
          <w:i/>
          <w:color w:val="000000"/>
          <w:sz w:val="22"/>
        </w:rPr>
        <w:t xml:space="preserve">By whom filed. </w:t>
      </w:r>
      <w:r>
        <w:rPr>
          <w:rFonts w:ascii="Times New Roman" w:hAnsi="Times New Roman"/>
          <w:b w:val="false"/>
          <w:i w:val="false"/>
          <w:color w:val="000000"/>
          <w:sz w:val="22"/>
        </w:rPr>
        <w:t>Any party to a contested case proceeding may file an application for rehearing from a final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2506.28(2)</w:t>
      </w:r>
      <w:r>
        <w:rPr>
          <w:rFonts w:ascii="Times New Roman" w:hAnsi="Times New Roman"/>
          <w:b w:val="false"/>
          <w:i w:val="false"/>
          <w:color w:val="000000"/>
          <w:sz w:val="22"/>
        </w:rPr>
        <w:t> </w:t>
      </w:r>
      <w:r>
        <w:rPr>
          <w:rFonts w:ascii="Times New Roman" w:hAnsi="Times New Roman"/>
          <w:b w:val="false"/>
          <w:i/>
          <w:color w:val="000000"/>
          <w:sz w:val="22"/>
        </w:rPr>
        <w:t xml:space="preserve">Content of application. </w:t>
      </w:r>
      <w:r>
        <w:rPr>
          <w:rFonts w:ascii="Times New Roman" w:hAnsi="Times New Roman"/>
          <w:b w:val="false"/>
          <w:i w:val="false"/>
          <w:color w:val="000000"/>
          <w:sz w:val="22"/>
        </w:rPr>
        <w:t>The application for rehearing must identify on whose behalf it is filed, the portion of the decision the party wants reconsidered, the specific grounds for rehearing, whether the party wants to proceed on the record or to submit additional evidence, and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2506.28(3)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The deadline to file an application for rehearing is 20 days after the final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2506.28(4)</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parties. </w:t>
      </w:r>
      <w:r>
        <w:rPr>
          <w:rFonts w:ascii="Times New Roman" w:hAnsi="Times New Roman"/>
          <w:b w:val="false"/>
          <w:i w:val="false"/>
          <w:color w:val="000000"/>
          <w:sz w:val="22"/>
        </w:rPr>
        <w:t>A copy of the application will be timely mailed or emailed by the applicant to all parties of record not joining therein. If the application does not contain a certificate of service, the agency will serve copies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2506.28(5)</w:t>
      </w:r>
      <w:r>
        <w:rPr>
          <w:rFonts w:ascii="Times New Roman" w:hAnsi="Times New Roman"/>
          <w:b w:val="false"/>
          <w:i w:val="false"/>
          <w:color w:val="000000"/>
          <w:sz w:val="22"/>
        </w:rPr>
        <w:t> </w:t>
      </w:r>
      <w:r>
        <w:rPr>
          <w:rFonts w:ascii="Times New Roman" w:hAnsi="Times New Roman"/>
          <w:b w:val="false"/>
          <w:i/>
          <w:color w:val="000000"/>
          <w:sz w:val="22"/>
        </w:rPr>
        <w:t xml:space="preserve">Disposition. </w:t>
      </w:r>
      <w:r>
        <w:rPr>
          <w:rFonts w:ascii="Times New Roman" w:hAnsi="Times New Roman"/>
          <w:b w:val="false"/>
          <w:i w:val="false"/>
          <w:color w:val="000000"/>
          <w:sz w:val="22"/>
        </w:rPr>
        <w:t xml:space="preserve">A party need not respond to an application for rehearing unless the government entity requests a response. An application for a rehearing is deemed denied if it is not granted within 20 days of its filing or, if a response is filed, within 20 days of the filing of a response. An application for rehearing is optional; a party need not file an application to exhaust available administrative remedies. The filing of an application for rehearing shall toll the time period for appeal in rule </w:t>
      </w:r>
      <w:hyperlink r:id="rId31">
        <w:r>
          <w:rPr>
            <w:rStyle w:val="Hyperlink"/>
            <w:rFonts w:ascii="Times New Roman" w:hAnsi="Times New Roman"/>
            <w:b w:val="false"/>
            <w:i w:val="false"/>
            <w:color w:val="000000"/>
            <w:sz w:val="22"/>
          </w:rPr>
          <w:t>7—2506.27</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7—2506.29</w:t>
      </w:r>
      <w:r>
        <w:rPr>
          <w:rFonts w:ascii="Times New Roman" w:hAnsi="Times New Roman"/>
          <w:b/>
          <w:i w:val="false"/>
          <w:color w:val="000000"/>
          <w:sz w:val="22"/>
        </w:rPr>
        <w:t xml:space="preserve">(17A) </w:t>
      </w:r>
      <w:r>
        <w:rPr>
          <w:rFonts w:ascii="Times New Roman" w:hAnsi="Times New Roman"/>
          <w:b/>
          <w:i w:val="false"/>
          <w:color w:val="000000"/>
          <w:sz w:val="22"/>
        </w:rPr>
        <w:t xml:space="preserve">Stays of agency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2506.29(1)</w:t>
      </w:r>
      <w:r>
        <w:rPr>
          <w:rFonts w:ascii="Times New Roman" w:hAnsi="Times New Roman"/>
          <w:b w:val="false"/>
          <w:i w:val="false"/>
          <w:color w:val="000000"/>
          <w:sz w:val="22"/>
        </w:rPr>
        <w:t> </w:t>
      </w:r>
      <w:r>
        <w:rPr>
          <w:rFonts w:ascii="Times New Roman" w:hAnsi="Times New Roman"/>
          <w:b w:val="false"/>
          <w:i/>
          <w:color w:val="000000"/>
          <w:sz w:val="22"/>
        </w:rPr>
        <w:t xml:space="preserve">When available.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may petition the agency to stay the effect of an order, or for other temporary remedies, pending review of the order by the agency. The petition must be filed with the notice of appeal and must state the reasons justifying a stay or other temporary remedy. The agency may rule on the stay or authorize the presiding officer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may petition the agency for a stay, or other temporary remedies, pending judicial review of all or part of that proceeding. The petition must state the reasons justifying a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2506.29(2)</w:t>
      </w:r>
      <w:r>
        <w:rPr>
          <w:rFonts w:ascii="Times New Roman" w:hAnsi="Times New Roman"/>
          <w:b w:val="false"/>
          <w:i w:val="false"/>
          <w:color w:val="000000"/>
          <w:sz w:val="22"/>
        </w:rPr>
        <w:t> </w:t>
      </w:r>
      <w:r>
        <w:rPr>
          <w:rFonts w:ascii="Times New Roman" w:hAnsi="Times New Roman"/>
          <w:b w:val="false"/>
          <w:i/>
          <w:color w:val="000000"/>
          <w:sz w:val="22"/>
        </w:rPr>
        <w:t xml:space="preserve">When granted. </w:t>
      </w:r>
      <w:r>
        <w:rPr>
          <w:rFonts w:ascii="Times New Roman" w:hAnsi="Times New Roman"/>
          <w:b w:val="false"/>
          <w:i w:val="false"/>
          <w:color w:val="000000"/>
          <w:sz w:val="22"/>
        </w:rPr>
        <w:t xml:space="preserve">The presiding officer or agency will consider the factors listed in Iowa Code section </w:t>
      </w:r>
      <w:hyperlink r:id="rId32">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r>
        <w:rPr>
          <w:rFonts w:ascii="Times New Roman" w:hAnsi="Times New Roman"/>
          <w:b w:val="false"/>
          <w:i w:val="false"/>
          <w:color w:val="000000"/>
          <w:sz w:val="22"/>
        </w:rPr>
        <w:t xml:space="preserve"> when deciding whether to grant the stay or other temporary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2506.29(3)</w:t>
      </w:r>
      <w:r>
        <w:rPr>
          <w:rFonts w:ascii="Times New Roman" w:hAnsi="Times New Roman"/>
          <w:b w:val="false"/>
          <w:i w:val="false"/>
          <w:color w:val="000000"/>
          <w:sz w:val="22"/>
        </w:rPr>
        <w:t> </w:t>
      </w:r>
      <w:r>
        <w:rPr>
          <w:rFonts w:ascii="Times New Roman" w:hAnsi="Times New Roman"/>
          <w:b w:val="false"/>
          <w:i/>
          <w:color w:val="000000"/>
          <w:sz w:val="22"/>
        </w:rPr>
        <w:t xml:space="preserve">Vacation. </w:t>
      </w:r>
      <w:r>
        <w:rPr>
          <w:rFonts w:ascii="Times New Roman" w:hAnsi="Times New Roman"/>
          <w:b w:val="false"/>
          <w:i w:val="false"/>
          <w:color w:val="000000"/>
          <w:sz w:val="22"/>
        </w:rPr>
        <w:t>The presiding officer or agency may vacate a stay or other temporary remedy on the motion of the agency or any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7—2506.30</w:t>
      </w:r>
      <w:r>
        <w:rPr>
          <w:rFonts w:ascii="Times New Roman" w:hAnsi="Times New Roman"/>
          <w:b/>
          <w:i w:val="false"/>
          <w:color w:val="000000"/>
          <w:sz w:val="22"/>
        </w:rPr>
        <w:t xml:space="preserve">(17A) </w:t>
      </w:r>
      <w:r>
        <w:rPr>
          <w:rFonts w:ascii="Times New Roman" w:hAnsi="Times New Roman"/>
          <w:b/>
          <w:i w:val="false"/>
          <w:color w:val="000000"/>
          <w:sz w:val="22"/>
        </w:rPr>
        <w:t xml:space="preserve">Contested cases involving no factual dispute. </w:t>
      </w:r>
      <w:r>
        <w:rPr>
          <w:rFonts w:ascii="Times New Roman" w:hAnsi="Times New Roman"/>
          <w:b w:val="false"/>
          <w:i w:val="false"/>
          <w:color w:val="000000"/>
          <w:sz w:val="22"/>
        </w:rPr>
        <w:t>If the parties agree that no dispute of material fact exists, they may present all evidence, by stipulation or as otherwise agreed, without an evidentiary hearing. In such a situation, the parties should, as soon as practicable, jointly submit a proposed schedule for submitting the record and briefs and, if necessary, holding oral argument. If the parties cannot agree to a schedule, any party may file and serve a motion for summary judgment.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7—2506.31</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adjudicative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2506.31(1)</w:t>
      </w:r>
      <w:r>
        <w:rPr>
          <w:rFonts w:ascii="Times New Roman" w:hAnsi="Times New Roman"/>
          <w:b w:val="false"/>
          <w:i w:val="false"/>
          <w:color w:val="000000"/>
          <w:sz w:val="22"/>
        </w:rPr>
        <w:t> </w:t>
      </w:r>
      <w:r>
        <w:rPr>
          <w:rFonts w:ascii="Times New Roman" w:hAnsi="Times New Roman"/>
          <w:b w:val="false"/>
          <w:i/>
          <w:color w:val="000000"/>
          <w:sz w:val="22"/>
        </w:rPr>
        <w:t xml:space="preserve">Necessary emergency action. </w:t>
      </w:r>
      <w:r>
        <w:rPr>
          <w:rFonts w:ascii="Times New Roman" w:hAnsi="Times New Roman"/>
          <w:b w:val="false"/>
          <w:i w:val="false"/>
          <w:color w:val="000000"/>
          <w:sz w:val="22"/>
        </w:rPr>
        <w:t xml:space="preserve">To the extent necessary to prevent or avoid immediate danger to the public health, safety, or welfare and, consistent with the Constitution and other provisions of law, the agency may issue an emergency adjudicative order in compliance with Iowa Code section </w:t>
      </w:r>
      <w:hyperlink r:id="rId33">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The order must be in writing and may suspend a license in whole or in part, order that any continuing activity stop, order someone to act, or require other action within the jurisdiction of the agency. Before issuing an emergency adjudicative order, the agency must consider factors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there has been a sufficient factual investigation to ensure that it is proceeding on the basis of reliable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specific circumstances that pose immediate danger to public health, safety, or welfare have been identified and determined to be continuing;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person subject to the proposed emergency adjudicative order may continue to engage in other activities without posing immediate danger to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imposition of monitoring obligations or other interim safeguards would be sufficient to protect the public health, safety, or welfare;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specific action contemplated by the agency is necessary to avoid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2506.31(2)</w:t>
      </w:r>
      <w:r>
        <w:rPr>
          <w:rFonts w:ascii="Times New Roman" w:hAnsi="Times New Roman"/>
          <w:b w:val="false"/>
          <w:i w:val="false"/>
          <w:color w:val="000000"/>
          <w:sz w:val="22"/>
        </w:rPr>
        <w:t> </w:t>
      </w:r>
      <w:r>
        <w:rPr>
          <w:rFonts w:ascii="Times New Roman" w:hAnsi="Times New Roman"/>
          <w:b w:val="false"/>
          <w:i/>
          <w:color w:val="000000"/>
          <w:sz w:val="22"/>
        </w:rPr>
        <w:t xml:space="preserve">Issuance of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must contain findings of fact and conclusions of law to justify the determination of an immediate danger in the agency’s decision to take immediate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emergency adjudicative order will be immediately delivered to persons obligated to comply with the order by one or more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First-class or certified mail to the last address on file with the agency;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Fax. Fax may be used as the sole method of delivery if the person to whom the order applies has filed a written request that agency orders be sent by fax and has provided a fax number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the practicable degree, the agency is obligated to select the procedure for providing written notice that best ensures prompt, reliable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2506.31(3)</w:t>
      </w:r>
      <w:r>
        <w:rPr>
          <w:rFonts w:ascii="Times New Roman" w:hAnsi="Times New Roman"/>
          <w:b w:val="false"/>
          <w:i w:val="false"/>
          <w:color w:val="000000"/>
          <w:sz w:val="22"/>
        </w:rPr>
        <w:t> </w:t>
      </w:r>
      <w:r>
        <w:rPr>
          <w:rFonts w:ascii="Times New Roman" w:hAnsi="Times New Roman"/>
          <w:b w:val="false"/>
          <w:i/>
          <w:color w:val="000000"/>
          <w:sz w:val="22"/>
        </w:rPr>
        <w:t xml:space="preserve">Oral notice. </w:t>
      </w:r>
      <w:r>
        <w:rPr>
          <w:rFonts w:ascii="Times New Roman" w:hAnsi="Times New Roman"/>
          <w:b w:val="false"/>
          <w:i w:val="false"/>
          <w:color w:val="000000"/>
          <w:sz w:val="22"/>
        </w:rPr>
        <w:t>Unless the emergency adjudicative order is served by personal delivery on the same day that it is issued, the agency is obligated to make reasonable immediate efforts to contact the people to whom the order applies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2506.31(4)</w:t>
      </w:r>
      <w:r>
        <w:rPr>
          <w:rFonts w:ascii="Times New Roman" w:hAnsi="Times New Roman"/>
          <w:b w:val="false"/>
          <w:i w:val="false"/>
          <w:color w:val="000000"/>
          <w:sz w:val="22"/>
        </w:rPr>
        <w:t> </w:t>
      </w:r>
      <w:r>
        <w:rPr>
          <w:rFonts w:ascii="Times New Roman" w:hAnsi="Times New Roman"/>
          <w:b w:val="false"/>
          <w:i/>
          <w:color w:val="000000"/>
          <w:sz w:val="22"/>
        </w:rPr>
        <w:t xml:space="preserve">Completion of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the issuance of an emergency adjudicative order, the agency will proceed as quickly as feasible to complete any proceedings that would be needed if the matter did not involve an immediate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emergency adjudicative order must include, or be accompanied by, a notice of the date by which agency proceedings are scheduled for completion. When an agency has issued an emergency adjudicative order, the agency or a presiding officer may continue contested case proceedings only in compelling circumstances upon application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7—2506.32</w:t>
      </w:r>
      <w:r>
        <w:rPr>
          <w:rFonts w:ascii="Times New Roman" w:hAnsi="Times New Roman"/>
          <w:b w:val="false"/>
          <w:i w:val="false"/>
          <w:color w:val="000000"/>
          <w:sz w:val="22"/>
        </w:rPr>
        <w:t xml:space="preserve"> to </w:t>
      </w:r>
      <w:r>
        <w:rPr>
          <w:rFonts w:ascii="Times New Roman" w:hAnsi="Times New Roman"/>
          <w:b/>
          <w:i w:val="false"/>
          <w:color w:val="000000"/>
          <w:sz w:val="22"/>
        </w:rPr>
        <w:t>2506.100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7—2506.101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for vendor appeals of contested cases. </w:t>
      </w:r>
      <w:r>
        <w:rPr>
          <w:rFonts w:ascii="Times New Roman" w:hAnsi="Times New Roman"/>
          <w:b w:val="false"/>
          <w:i w:val="false"/>
          <w:color w:val="000000"/>
          <w:sz w:val="22"/>
        </w:rPr>
        <w:t>As used in this chapter, unless the context otherwise dictates: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means the agency when purchasing goods or services through a competitive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“Award”</w:t>
      </w:r>
      <w:r>
        <w:rPr>
          <w:rFonts w:ascii="Times New Roman" w:hAnsi="Times New Roman"/>
          <w:b w:val="false"/>
          <w:i w:val="false"/>
          <w:color w:val="000000"/>
          <w:sz w:val="22"/>
        </w:rPr>
        <w:t> </w:t>
      </w:r>
      <w:r>
        <w:rPr>
          <w:rFonts w:ascii="Times New Roman" w:hAnsi="Times New Roman"/>
          <w:b w:val="false"/>
          <w:i w:val="false"/>
          <w:color w:val="000000"/>
          <w:sz w:val="22"/>
        </w:rPr>
        <w:t>means the decision to select a vendor for a contract or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“Vendor”</w:t>
      </w:r>
      <w:r>
        <w:rPr>
          <w:rFonts w:ascii="Times New Roman" w:hAnsi="Times New Roman"/>
          <w:b w:val="false"/>
          <w:i w:val="false"/>
          <w:color w:val="000000"/>
          <w:sz w:val="22"/>
        </w:rPr>
        <w:t> </w:t>
      </w:r>
      <w:r>
        <w:rPr>
          <w:rFonts w:ascii="Times New Roman" w:hAnsi="Times New Roman"/>
          <w:b w:val="false"/>
          <w:i w:val="false"/>
          <w:color w:val="000000"/>
          <w:sz w:val="22"/>
        </w:rPr>
        <w:t>means any vendor who has submitted a bid or proposal in response to a competitive solicitation issued by an agency.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7—2506.102</w:t>
      </w:r>
      <w:r>
        <w:rPr>
          <w:rFonts w:ascii="Times New Roman" w:hAnsi="Times New Roman"/>
          <w:b/>
          <w:i w:val="false"/>
          <w:color w:val="000000"/>
          <w:sz w:val="22"/>
        </w:rPr>
        <w:t xml:space="preserve">(17A) </w:t>
      </w:r>
      <w:r>
        <w:rPr>
          <w:rFonts w:ascii="Times New Roman" w:hAnsi="Times New Roman"/>
          <w:b/>
          <w:i w:val="false"/>
          <w:color w:val="000000"/>
          <w:sz w:val="22"/>
        </w:rPr>
        <w:t xml:space="preserve">Vendor appeal process. </w:t>
      </w:r>
      <w:r>
        <w:rPr>
          <w:rFonts w:ascii="Times New Roman" w:hAnsi="Times New Roman"/>
          <w:b w:val="false"/>
          <w:i w:val="false"/>
          <w:color w:val="000000"/>
          <w:sz w:val="22"/>
        </w:rPr>
        <w:t xml:space="preserve">Rules </w:t>
      </w:r>
      <w:hyperlink r:id="rId34">
        <w:r>
          <w:rPr>
            <w:rStyle w:val="Hyperlink"/>
            <w:rFonts w:ascii="Times New Roman" w:hAnsi="Times New Roman"/>
            <w:b w:val="false"/>
            <w:i w:val="false"/>
            <w:color w:val="000000"/>
            <w:sz w:val="22"/>
          </w:rPr>
          <w:t>7—2506.101</w:t>
        </w:r>
      </w:hyperlink>
      <w:r>
        <w:rPr>
          <w:rFonts w:ascii="Times New Roman" w:hAnsi="Times New Roman"/>
          <w:b w:val="false"/>
          <w:i w:val="false"/>
          <w:color w:val="000000"/>
          <w:sz w:val="22"/>
        </w:rPr>
        <w:t xml:space="preserve">(17A) through </w:t>
      </w:r>
      <w:hyperlink r:id="rId35">
        <w:r>
          <w:rPr>
            <w:rStyle w:val="Hyperlink"/>
            <w:rFonts w:ascii="Times New Roman" w:hAnsi="Times New Roman"/>
            <w:b w:val="false"/>
            <w:i w:val="false"/>
            <w:color w:val="000000"/>
            <w:sz w:val="22"/>
          </w:rPr>
          <w:t>7—2506.105</w:t>
        </w:r>
      </w:hyperlink>
      <w:r>
        <w:rPr>
          <w:rFonts w:ascii="Times New Roman" w:hAnsi="Times New Roman"/>
          <w:b w:val="false"/>
          <w:i w:val="false"/>
          <w:color w:val="000000"/>
          <w:sz w:val="22"/>
        </w:rPr>
        <w:t>(17A) govern appeals of the agency’s decisions regarding competitive solicitations for goods or services. These rules supplement standard contested case rules and control to the extent inconsistent with standard contested case rules. Not complying with these vendor appeal rules in any material respect will result in dismissal of the appeal and constitute a failure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2506.102(1)</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appeal. </w:t>
      </w:r>
      <w:r>
        <w:rPr>
          <w:rFonts w:ascii="Times New Roman" w:hAnsi="Times New Roman"/>
          <w:b w:val="false"/>
          <w:i w:val="false"/>
          <w:color w:val="000000"/>
          <w:sz w:val="22"/>
        </w:rPr>
        <w:t>A vendor who is aggrieved by the agency’s issuance of a notice of intent to award following a competitive solicitation may appeal that notice of intent to award. The deadline for the vendor to submit a notice of intent to appeal is five days following issuance of the notice of intent to award. Late notices of intent to appeal will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2506.102(2)</w:t>
      </w:r>
      <w:r>
        <w:rPr>
          <w:rFonts w:ascii="Times New Roman" w:hAnsi="Times New Roman"/>
          <w:b w:val="false"/>
          <w:i w:val="false"/>
          <w:color w:val="000000"/>
          <w:sz w:val="22"/>
        </w:rPr>
        <w:t> </w:t>
      </w:r>
      <w:r>
        <w:rPr>
          <w:rFonts w:ascii="Times New Roman" w:hAnsi="Times New Roman"/>
          <w:b w:val="false"/>
          <w:i/>
          <w:color w:val="000000"/>
          <w:sz w:val="22"/>
        </w:rPr>
        <w:t xml:space="preserve">Initial disclosures. </w:t>
      </w:r>
      <w:r>
        <w:rPr>
          <w:rFonts w:ascii="Times New Roman" w:hAnsi="Times New Roman"/>
          <w:b w:val="false"/>
          <w:i w:val="false"/>
          <w:color w:val="000000"/>
          <w:sz w:val="22"/>
        </w:rPr>
        <w:t>When an agency receives the vendor’s notice of intent to appeal, the agency will respond by providing the public version of the winning vendor’s proposal as submitted by the vendor during the solicitation process. In addition, the agency will provide all evaluation committee materials, documentation, analysis, and results. If requested by the vendor, the agency will also send the public versions of losing bids or proposals as those public copies were submitted during the solicitation process. The vendor is not entitled to any additional discovery, materials, or information unless the proceedings advance past the first-tier review stage.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Following receipt of the initial disclosures, the vendor may file a formal appeal within either the time frame identified in the solicitation document or, if no time frame is identified, five days from the award. If the vendor does not file a formal appeal in a timely manner, the appeal is waived. The vendor is obligated to plead with particularity; notice pleading is inadequate. At minimum, the formal appeal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vendor’s contact information, including contact information for the individual filing the notice of appeal, the individual’s association with the appealing vendor, and a showing of the individual’s authority to appeal on behalf of the appealing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Details of the award decision the vendor is challenging;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Why and how the vendor is aggrieved by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legal and factual reasons for the vendor’s appeal, including references to the relevant grounds of appeal as set forth in Iowa Code section </w:t>
      </w:r>
      <w:hyperlink r:id="rId36">
        <w:r>
          <w:rPr>
            <w:rStyle w:val="Hyperlink"/>
            <w:rFonts w:ascii="Times New Roman" w:hAnsi="Times New Roman"/>
            <w:b w:val="false"/>
            <w:i w:val="false"/>
            <w:color w:val="000000"/>
            <w:sz w:val="22"/>
          </w:rPr>
          <w:t>17A.19(10)</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relief the vendor is seeking.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2506.102(4)</w:t>
      </w:r>
      <w:r>
        <w:rPr>
          <w:rFonts w:ascii="Times New Roman" w:hAnsi="Times New Roman"/>
          <w:b w:val="false"/>
          <w:i w:val="false"/>
          <w:color w:val="000000"/>
          <w:sz w:val="22"/>
        </w:rPr>
        <w:t> </w:t>
      </w:r>
      <w:r>
        <w:rPr>
          <w:rFonts w:ascii="Times New Roman" w:hAnsi="Times New Roman"/>
          <w:b w:val="false"/>
          <w:i/>
          <w:color w:val="000000"/>
          <w:sz w:val="22"/>
        </w:rPr>
        <w:t xml:space="preserve">Appeal bond—notice of appeal, first-tier review. </w:t>
      </w:r>
      <w:r>
        <w:rPr>
          <w:rFonts w:ascii="Times New Roman" w:hAnsi="Times New Roman"/>
          <w:b w:val="false"/>
          <w:i w:val="false"/>
          <w:color w:val="000000"/>
          <w:sz w:val="22"/>
        </w:rPr>
        <w:t>At the same time the vendor submits the notice of appeal, the appealing vendor must submit to the agency an appeal bond to the extent required in the solicitation document. An agency has discretion to require a bond in an amount up to 5 percent of the value of the contract that is the subject of the appeal, including all extension years available under the contract awarded. If the vendor does not submit the appeal bond, the agency will dismiss the appeal. The vendor forfeits the appeal bond if its claims are determined to be unreasonable, frivolous, or for purposes of delaying the award, in which case the vendor will also be ordered to pay all costs of the appeal of the agency and any intervening party. Those costs include but are not limited to the costs of the process, hearing costs, expert witness fees, and attorney’s fees and costs. The appealing vendor may be disqualified from future competitive solicitations in accordance with applicable rules addressing vendor disqualification through debarment or suspension if the appeal is determined to be unreasonable, frivolous, or for the purpose of delay. Awarded costs may be extracted from the appeal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2506.102(5)</w:t>
      </w:r>
      <w:r>
        <w:rPr>
          <w:rFonts w:ascii="Times New Roman" w:hAnsi="Times New Roman"/>
          <w:b w:val="false"/>
          <w:i w:val="false"/>
          <w:color w:val="000000"/>
          <w:sz w:val="22"/>
        </w:rPr>
        <w:t> </w:t>
      </w:r>
      <w:r>
        <w:rPr>
          <w:rFonts w:ascii="Times New Roman" w:hAnsi="Times New Roman"/>
          <w:b w:val="false"/>
          <w:i/>
          <w:color w:val="000000"/>
          <w:sz w:val="22"/>
        </w:rPr>
        <w:t xml:space="preserve">Public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ensure fair evaluation of proposals and to make the vendor appeal process more efficient, solicitation-related information, such as proposals and evaluation materials, will remain confidential and will not be released to the public until the notice of intent to award is issued or any vendor appeals are fully and finally resolved, whichever comes later. Materials released in accordance with these vendor appeal rules or in a formal sealed bidding process controlled by Iowa Code section </w:t>
      </w:r>
      <w:hyperlink r:id="rId37">
        <w:r>
          <w:rPr>
            <w:rStyle w:val="Hyperlink"/>
            <w:rFonts w:ascii="Times New Roman" w:hAnsi="Times New Roman"/>
            <w:b w:val="false"/>
            <w:i w:val="false"/>
            <w:color w:val="000000"/>
            <w:sz w:val="22"/>
          </w:rPr>
          <w:t>72.3</w:t>
        </w:r>
      </w:hyperlink>
      <w:r>
        <w:rPr>
          <w:rFonts w:ascii="Times New Roman" w:hAnsi="Times New Roman"/>
          <w:b w:val="false"/>
          <w:i w:val="false"/>
          <w:color w:val="000000"/>
          <w:sz w:val="22"/>
        </w:rPr>
        <w:t xml:space="preserve"> are exceptions to this temporary prohibition on the release of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By submitting materials for the bidding process, a vendor agrees that submitted documents and information can be shared with third parties, including competitors, in the event of an appeal. However, the agency will share confidential or proprietary information during an appeal process only in accordance with a protective order acceptable to the agency. Without a protective order, the agency will make available only to litigants copies of proposals from which confidential and proprietary information have been redacted, and then to non-litigants only after finalization of the award process or all vendor appeals, whichever comes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vendor’s notice of appeal is a public document available for public inspection. If the vendor believes the notice contains any confidential information, the vendor must, when it submits the notice of appeal, explain why the notice should remain confidential. The vendor must also submit a redacted version of the notice of appeal so that the public and other vendors submitting proposals in response to the solicitation can view nonconfidential portions of the notice of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2506.102(6)</w:t>
      </w:r>
      <w:r>
        <w:rPr>
          <w:rFonts w:ascii="Times New Roman" w:hAnsi="Times New Roman"/>
          <w:b w:val="false"/>
          <w:i w:val="false"/>
          <w:color w:val="000000"/>
          <w:sz w:val="22"/>
        </w:rPr>
        <w:t> </w:t>
      </w:r>
      <w:r>
        <w:rPr>
          <w:rFonts w:ascii="Times New Roman" w:hAnsi="Times New Roman"/>
          <w:b w:val="false"/>
          <w:i/>
          <w:color w:val="000000"/>
          <w:sz w:val="22"/>
        </w:rPr>
        <w:t xml:space="preserve">Notice to winning vendor and intervention. </w:t>
      </w:r>
      <w:r>
        <w:rPr>
          <w:rFonts w:ascii="Times New Roman" w:hAnsi="Times New Roman"/>
          <w:b w:val="false"/>
          <w:i w:val="false"/>
          <w:color w:val="000000"/>
          <w:sz w:val="22"/>
        </w:rPr>
        <w:t>Once the agency receives the notice of appeal, the issuing officer for the solicitation will notify the winning vendor. The winning vendor may intervene in the appeal by submitting a notice of intervention no later than five days after receiving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2506.102(7)</w:t>
      </w:r>
      <w:r>
        <w:rPr>
          <w:rFonts w:ascii="Times New Roman" w:hAnsi="Times New Roman"/>
          <w:b w:val="false"/>
          <w:i w:val="false"/>
          <w:color w:val="000000"/>
          <w:sz w:val="22"/>
        </w:rPr>
        <w:t> </w:t>
      </w:r>
      <w:r>
        <w:rPr>
          <w:rFonts w:ascii="Times New Roman" w:hAnsi="Times New Roman"/>
          <w:b w:val="false"/>
          <w:i/>
          <w:color w:val="000000"/>
          <w:sz w:val="22"/>
        </w:rPr>
        <w:t xml:space="preserve">Initial disclosures to intervenors. </w:t>
      </w:r>
      <w:r>
        <w:rPr>
          <w:rFonts w:ascii="Times New Roman" w:hAnsi="Times New Roman"/>
          <w:b w:val="false"/>
          <w:i w:val="false"/>
          <w:color w:val="000000"/>
          <w:sz w:val="22"/>
        </w:rPr>
        <w:t>The agency will send the intervening vendor the same public documents sent to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2506.102(8)</w:t>
      </w: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To facilitate an orderly and timely resolution of vendor appeals, claims are waived in each of these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vendor did not raise during the solicitation process, such as through a question-and-answer period, an issue that could have been addressed during that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issue is not raised in the original notice of appeal;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argument that could have been raised at an earlier stage of the appeal was not raised at that earlier stage.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7—2506.103</w:t>
      </w:r>
      <w:r>
        <w:rPr>
          <w:rFonts w:ascii="Times New Roman" w:hAnsi="Times New Roman"/>
          <w:b/>
          <w:i w:val="false"/>
          <w:color w:val="000000"/>
          <w:sz w:val="22"/>
        </w:rPr>
        <w:t xml:space="preserve">(17A) </w:t>
      </w:r>
      <w:r>
        <w:rPr>
          <w:rFonts w:ascii="Times New Roman" w:hAnsi="Times New Roman"/>
          <w:b/>
          <w:i w:val="false"/>
          <w:color w:val="000000"/>
          <w:sz w:val="22"/>
        </w:rPr>
        <w:t xml:space="preserve">Vendor appeal stages.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2506.103(1)</w:t>
      </w:r>
      <w:r>
        <w:rPr>
          <w:rFonts w:ascii="Times New Roman" w:hAnsi="Times New Roman"/>
          <w:b w:val="false"/>
          <w:i w:val="false"/>
          <w:color w:val="000000"/>
          <w:sz w:val="22"/>
        </w:rPr>
        <w:t> </w:t>
      </w:r>
      <w:r>
        <w:rPr>
          <w:rFonts w:ascii="Times New Roman" w:hAnsi="Times New Roman"/>
          <w:b w:val="false"/>
          <w:i/>
          <w:color w:val="000000"/>
          <w:sz w:val="22"/>
        </w:rPr>
        <w:t xml:space="preserve">First-tier review. </w:t>
      </w:r>
      <w:r>
        <w:rPr>
          <w:rFonts w:ascii="Times New Roman" w:hAnsi="Times New Roman"/>
          <w:b w:val="false"/>
          <w:i w:val="false"/>
          <w:color w:val="000000"/>
          <w:sz w:val="22"/>
        </w:rPr>
        <w:t>Once the appeal is filed and any responses are received, the agency will review the case internally and issue a decision upholding, changing, or reversing the original award decision. The agency’s decision is final unless the appealing vendor requests a second-tier review within the time frame identified in the solicitation document for seeking second-tier review or, if no time frame is so identified, five days from the issuance of the first-tier review. Failure to seek a second-tier review constitutes waiver of any right to seek a second-tier review and failure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2506.103(2)</w:t>
      </w:r>
      <w:r>
        <w:rPr>
          <w:rFonts w:ascii="Times New Roman" w:hAnsi="Times New Roman"/>
          <w:b w:val="false"/>
          <w:i w:val="false"/>
          <w:color w:val="000000"/>
          <w:sz w:val="22"/>
        </w:rPr>
        <w:t> </w:t>
      </w:r>
      <w:r>
        <w:rPr>
          <w:rFonts w:ascii="Times New Roman" w:hAnsi="Times New Roman"/>
          <w:b w:val="false"/>
          <w:i/>
          <w:color w:val="000000"/>
          <w:sz w:val="22"/>
        </w:rPr>
        <w:t xml:space="preserve">Second-tier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hearing. </w:t>
      </w:r>
      <w:r>
        <w:rPr>
          <w:rFonts w:ascii="Times New Roman" w:hAnsi="Times New Roman"/>
          <w:b w:val="false"/>
          <w:i w:val="false"/>
          <w:color w:val="000000"/>
          <w:sz w:val="22"/>
        </w:rPr>
        <w:t xml:space="preserve">A vendor aggrieved by an agency’s first-tier review may seek a second-tier review by filing a notice seeking second-tier review with the agency within five days of issuance of the first-tier review decision. The second-tier review request must comply with subrule </w:t>
      </w:r>
      <w:hyperlink r:id="rId38">
        <w:r>
          <w:rPr>
            <w:rStyle w:val="Hyperlink"/>
            <w:rFonts w:ascii="Times New Roman" w:hAnsi="Times New Roman"/>
            <w:b w:val="false"/>
            <w:i w:val="false"/>
            <w:color w:val="000000"/>
            <w:sz w:val="22"/>
          </w:rPr>
          <w:t>2506.102(3)</w:t>
        </w:r>
      </w:hyperlink>
      <w:r>
        <w:rPr>
          <w:rFonts w:ascii="Times New Roman" w:hAnsi="Times New Roman"/>
          <w:b w:val="false"/>
          <w:i w:val="false"/>
          <w:color w:val="000000"/>
          <w:sz w:val="22"/>
        </w:rPr>
        <w:t xml:space="preserve">, except that it must refer to the first-tier review decision instead of the award decision. Upon receipt of a vendor’s request for a second-tier review, the agency will schedule a hearing before an administrative law judge from the department of inspections, appeals, and licensing. The second-tier review hearing will be held within 60 days after the request for a second-tier review, subject to good cause exceptions as set forth in subrule </w:t>
      </w:r>
      <w:hyperlink r:id="rId39">
        <w:r>
          <w:rPr>
            <w:rStyle w:val="Hyperlink"/>
            <w:rFonts w:ascii="Times New Roman" w:hAnsi="Times New Roman"/>
            <w:b w:val="false"/>
            <w:i w:val="false"/>
            <w:color w:val="000000"/>
            <w:sz w:val="22"/>
          </w:rPr>
          <w:t>2506.3(2)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Appeal security. </w:t>
      </w:r>
      <w:r>
        <w:rPr>
          <w:rFonts w:ascii="Times New Roman" w:hAnsi="Times New Roman"/>
          <w:b w:val="false"/>
          <w:i w:val="false"/>
          <w:color w:val="000000"/>
          <w:sz w:val="22"/>
        </w:rPr>
        <w:t>At the same time as it submits a second-tier review request, the appealing vendor must submit an additional appeal bond to the extent required in the solicitation document. An agency has discretion to require a second bond in an amount up to 10 percent of the value of the contract that is the subject of the appeal, including all extension years available under the contract awarded. If the vendor does not satisfy the bond requirement, the agency will dismiss the second-tier review. The appeal bond will be forfeited if the vendor’s claims are determined to be unreasonable, frivolous, or for purposes of delaying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r>
        <w:rPr>
          <w:rFonts w:ascii="Times New Roman" w:hAnsi="Times New Roman"/>
          <w:b w:val="false"/>
          <w:i w:val="false"/>
          <w:color w:val="000000"/>
          <w:sz w:val="22"/>
        </w:rPr>
        <w:t>Any party may seek reasonable discovery of information directly relevant to the issues that are the subject of the appeal. Overly broad or burdensome discovery requests are not allowed. Discovery issued to the agency is limited to events occurring at the agency that relate to the solicitation process. Issues not subject to discovery include the agency’s existing relationships with other bidders. As a condition of requesting a second-tier review, the appellant is obligated to promptly respond to discovery requests made by any party defending the award. Any party defending the award may seek discovery from appellant of any matters that could affect the fairness of the solicitation process, including whether the appellant failed to disclose information relevant to the award process that would have resulted in its disqualification or that appellant engaged in previously unreported inappropriate contact that would have resulted in its disqualification. An appellant that would have been disqualified is not prejudiced by the award decision and lacks standing to challenge it. Confidential or proprietary information may be shared by the parties to the appeal in accordance with a protective order acceptable to the agency. All discovery requests will be made no later than five days after the request for a second-tier review is submitted. Parties must completely respond or object to discovery requests within 30 days of receipt. A party that objects to discovery requests must submit its objection to the requesting parties within ten days of receiving the discovery requests. Sanctions will be imposed for abuse of the discovery process, potentially including adverse inferences and dismissal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Witnesses and exhibits. </w:t>
      </w:r>
      <w:r>
        <w:rPr>
          <w:rFonts w:ascii="Times New Roman" w:hAnsi="Times New Roman"/>
          <w:b w:val="false"/>
          <w:i w:val="false"/>
          <w:color w:val="000000"/>
          <w:sz w:val="22"/>
        </w:rPr>
        <w:t>At least ten days before the hearing, the parties will contact each other to discuss proposed witnesses and exhibits. Final witness and exhibit lists will be exchanged no later than seven days before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Second-tier hearing and decision. </w:t>
      </w:r>
      <w:r>
        <w:rPr>
          <w:rFonts w:ascii="Times New Roman" w:hAnsi="Times New Roman"/>
          <w:b w:val="false"/>
          <w:i w:val="false"/>
          <w:color w:val="000000"/>
          <w:sz w:val="22"/>
        </w:rPr>
        <w:t>The hearing will be transcribed by a court reporter arranged and paid for by the parties with the costs shared equally unless all parties to an appeal and the presiding officer agree to an alternative approach to record the proceeding. In the event the presiding officer orders post-hearing briefing, the following post-hearing schedule applies unless the parties agree to and the presiding officer orders a different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appellant post-hearing brief is due ten days after the presiding officer closes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appellee or intervenor post-hearing brief is due ten days after receiving the appellant’s brief,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appellant reply brief is due ten days after receiving the appellee or intervenor post-hearing brief.</w:t>
      </w:r>
    </w:p>
    <w:p>
      <w:pPr>
        <w:spacing w:before="0" w:after="0"/>
        <w:ind w:left="120"/>
        <w:jc w:val="both"/>
      </w:pPr>
      <w:r>
        <w:rPr>
          <w:rFonts w:ascii="Times New Roman" w:hAnsi="Times New Roman"/>
          <w:b w:val="false"/>
          <w:i w:val="false"/>
          <w:color w:val="000000"/>
          <w:sz w:val="22"/>
        </w:rPr>
        <w:t>Following the close of post-hearing briefing, the administrative law judge will issue a proposed decision, which will become the final agency decision unless a party seeks a third-tier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2506.103(3)</w:t>
      </w:r>
      <w:r>
        <w:rPr>
          <w:rFonts w:ascii="Times New Roman" w:hAnsi="Times New Roman"/>
          <w:b w:val="false"/>
          <w:i w:val="false"/>
          <w:color w:val="000000"/>
          <w:sz w:val="22"/>
        </w:rPr>
        <w:t> </w:t>
      </w:r>
      <w:r>
        <w:rPr>
          <w:rFonts w:ascii="Times New Roman" w:hAnsi="Times New Roman"/>
          <w:b w:val="false"/>
          <w:i/>
          <w:color w:val="000000"/>
          <w:sz w:val="22"/>
        </w:rPr>
        <w:t xml:space="preserve">Third-tier review and decision. </w:t>
      </w:r>
      <w:r>
        <w:rPr>
          <w:rFonts w:ascii="Times New Roman" w:hAnsi="Times New Roman"/>
          <w:b w:val="false"/>
          <w:i w:val="false"/>
          <w:color w:val="000000"/>
          <w:sz w:val="22"/>
        </w:rPr>
        <w:t xml:space="preserve">A party aggrieved by an agency’s second-tier review may seek a third-tier review by filing a notice seeking third-tier review with the agency. The deadline to file this notice is five days after the proposed decision on the second-tier review is issued. The third-tier review request must comply with subrule </w:t>
      </w:r>
      <w:hyperlink r:id="rId40">
        <w:r>
          <w:rPr>
            <w:rStyle w:val="Hyperlink"/>
            <w:rFonts w:ascii="Times New Roman" w:hAnsi="Times New Roman"/>
            <w:b w:val="false"/>
            <w:i w:val="false"/>
            <w:color w:val="000000"/>
            <w:sz w:val="22"/>
          </w:rPr>
          <w:t>2506.102(3)</w:t>
        </w:r>
      </w:hyperlink>
      <w:r>
        <w:rPr>
          <w:rFonts w:ascii="Times New Roman" w:hAnsi="Times New Roman"/>
          <w:b w:val="false"/>
          <w:i w:val="false"/>
          <w:color w:val="000000"/>
          <w:sz w:val="22"/>
        </w:rPr>
        <w:t>, except that it must refer to the second-tier review decision instead of the award decision. The party appealing must submit the entire record from the second-tier review, including any transcripts or recordings, at its own cost. Any non-appealing party may file a response to the request. No additional briefing or argument is allowed at the third-tier review stage absent an agency’s request. The agency will thereafter expeditiously issue the final agency decision, which will constitute final agency action on the matter.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7—2506.104</w:t>
      </w:r>
      <w:r>
        <w:rPr>
          <w:rFonts w:ascii="Times New Roman" w:hAnsi="Times New Roman"/>
          <w:b/>
          <w:i w:val="false"/>
          <w:color w:val="000000"/>
          <w:sz w:val="22"/>
        </w:rPr>
        <w:t xml:space="preserve">(17A) </w:t>
      </w:r>
      <w:r>
        <w:rPr>
          <w:rFonts w:ascii="Times New Roman" w:hAnsi="Times New Roman"/>
          <w:b/>
          <w:i w:val="false"/>
          <w:color w:val="000000"/>
          <w:sz w:val="22"/>
        </w:rPr>
        <w:t xml:space="preserve">Standards and remedies for vendor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2506.104(1)</w:t>
      </w:r>
      <w:r>
        <w:rPr>
          <w:rFonts w:ascii="Times New Roman" w:hAnsi="Times New Roman"/>
          <w:b w:val="false"/>
          <w:i w:val="false"/>
          <w:color w:val="000000"/>
          <w:sz w:val="22"/>
        </w:rPr>
        <w:t> </w:t>
      </w:r>
      <w:r>
        <w:rPr>
          <w:rFonts w:ascii="Times New Roman" w:hAnsi="Times New Roman"/>
          <w:b w:val="false"/>
          <w:i/>
          <w:color w:val="000000"/>
          <w:sz w:val="22"/>
        </w:rPr>
        <w:t xml:space="preserve">Standard of review. </w:t>
      </w:r>
      <w:r>
        <w:rPr>
          <w:rFonts w:ascii="Times New Roman" w:hAnsi="Times New Roman"/>
          <w:b w:val="false"/>
          <w:i w:val="false"/>
          <w:color w:val="000000"/>
          <w:sz w:val="22"/>
        </w:rPr>
        <w:t>In all stages of the vendor appeal, the standard of review will be whether the solicitation process substantially complied with the legally binding procedures applicable to the award process at issue and, if not, whether there is prejudice to the nonprevailing vendor because: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noncompliance demands a conclusion that the award process was not conducted fairly, openly, or objectively,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Compliance with the legally binding procedure would have resulted in a different outcome.</w:t>
      </w:r>
    </w:p>
    <w:p>
      <w:pPr>
        <w:spacing w:before="0" w:after="0"/>
        <w:ind w:left="120"/>
        <w:jc w:val="both"/>
      </w:pPr>
      <w:r>
        <w:rPr>
          <w:rFonts w:ascii="Times New Roman" w:hAnsi="Times New Roman"/>
          <w:b w:val="false"/>
          <w:i w:val="false"/>
          <w:color w:val="000000"/>
          <w:sz w:val="22"/>
        </w:rPr>
        <w:t>For purposes of this rule, “legally binding procedure” means those procedures mandated by statute or administrative rule or expressly set forth in the text of the competitive solicitation. Agency guidance that is not in statute, administrative rule, or the text of the solicitation, including but not limited to training materials and procedural manuals, does not constitute legally binding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2506.104(2)</w:t>
      </w:r>
      <w:r>
        <w:rPr>
          <w:rFonts w:ascii="Times New Roman" w:hAnsi="Times New Roman"/>
          <w:b w:val="false"/>
          <w:i w:val="false"/>
          <w:color w:val="000000"/>
          <w:sz w:val="22"/>
        </w:rPr>
        <w:t> </w:t>
      </w:r>
      <w:r>
        <w:rPr>
          <w:rFonts w:ascii="Times New Roman" w:hAnsi="Times New Roman"/>
          <w:b w:val="false"/>
          <w:i/>
          <w:color w:val="000000"/>
          <w:sz w:val="22"/>
        </w:rPr>
        <w:t xml:space="preserve">Burdens. </w:t>
      </w:r>
      <w:r>
        <w:rPr>
          <w:rFonts w:ascii="Times New Roman" w:hAnsi="Times New Roman"/>
          <w:b w:val="false"/>
          <w:i w:val="false"/>
          <w:color w:val="000000"/>
          <w:sz w:val="22"/>
        </w:rPr>
        <w:t>The appealing vendor bears the burden of proof and the burden of producing evidence in support of its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2506.104(3)</w:t>
      </w:r>
      <w:r>
        <w:rPr>
          <w:rFonts w:ascii="Times New Roman" w:hAnsi="Times New Roman"/>
          <w:b w:val="false"/>
          <w:i w:val="false"/>
          <w:color w:val="000000"/>
          <w:sz w:val="22"/>
        </w:rPr>
        <w:t> </w:t>
      </w:r>
      <w:r>
        <w:rPr>
          <w:rFonts w:ascii="Times New Roman" w:hAnsi="Times New Roman"/>
          <w:b w:val="false"/>
          <w:i/>
          <w:color w:val="000000"/>
          <w:sz w:val="22"/>
        </w:rPr>
        <w:t xml:space="preserve">Standard of proof and prejudice to vendor. </w:t>
      </w:r>
      <w:r>
        <w:rPr>
          <w:rFonts w:ascii="Times New Roman" w:hAnsi="Times New Roman"/>
          <w:b w:val="false"/>
          <w:i w:val="false"/>
          <w:color w:val="000000"/>
          <w:sz w:val="22"/>
        </w:rPr>
        <w:t>The vendor must prove both noncompliance and prejudice by clear and convincing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2506.104(4)</w:t>
      </w:r>
      <w:r>
        <w:rPr>
          <w:rFonts w:ascii="Times New Roman" w:hAnsi="Times New Roman"/>
          <w:b w:val="false"/>
          <w:i w:val="false"/>
          <w:color w:val="000000"/>
          <w:sz w:val="22"/>
        </w:rPr>
        <w:t> </w:t>
      </w:r>
      <w:r>
        <w:rPr>
          <w:rFonts w:ascii="Times New Roman" w:hAnsi="Times New Roman"/>
          <w:b w:val="false"/>
          <w:i/>
          <w:color w:val="000000"/>
          <w:sz w:val="22"/>
        </w:rPr>
        <w:t xml:space="preserve">Remedies available. </w:t>
      </w:r>
      <w:r>
        <w:rPr>
          <w:rFonts w:ascii="Times New Roman" w:hAnsi="Times New Roman"/>
          <w:b w:val="false"/>
          <w:i w:val="false"/>
          <w:color w:val="000000"/>
          <w:sz w:val="22"/>
        </w:rPr>
        <w:t>If the solicitation process is found to be unfair or noncompliant with legally binding procedures, the remedy will be narrowly tailored and specifically designed to remediate the specific noncompliance. Wholesale remedies invalidating or voiding solicitations will be avoided unless no other conceivable measure could remediate the noncompliance. Possible remedies may include but are not necessarily limited to remand to the agency with directions to remedy the specific noncompliance and reissue the award if the agency determines the contract is still necessary to meet the agency’s needs or objectives or, if remediation of the noncompliance is not possible, voiding the notice of intent to award with directions to the agency to proceed in the state’s best interests, which may include canceling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2506.104(5)</w:t>
      </w:r>
      <w:r>
        <w:rPr>
          <w:rFonts w:ascii="Times New Roman" w:hAnsi="Times New Roman"/>
          <w:b w:val="false"/>
          <w:i w:val="false"/>
          <w:color w:val="000000"/>
          <w:sz w:val="22"/>
        </w:rPr>
        <w:t> </w:t>
      </w:r>
      <w:r>
        <w:rPr>
          <w:rFonts w:ascii="Times New Roman" w:hAnsi="Times New Roman"/>
          <w:b w:val="false"/>
          <w:i/>
          <w:color w:val="000000"/>
          <w:sz w:val="22"/>
        </w:rPr>
        <w:t xml:space="preserve">Authority over award decisions. </w:t>
      </w:r>
      <w:r>
        <w:rPr>
          <w:rFonts w:ascii="Times New Roman" w:hAnsi="Times New Roman"/>
          <w:b w:val="false"/>
          <w:i w:val="false"/>
          <w:color w:val="000000"/>
          <w:sz w:val="22"/>
        </w:rPr>
        <w:t>All final award decisions will be made by the agency. An administrative law judge’s authority is limited to affirming the agency’s action or remanding the issue to the agency for further consideration through a proposed decision. An administrative law judge lacks jurisdiction to compel the issuance of an award to a vendor other than a vendor awarded a contract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2506.104(6)</w:t>
      </w:r>
      <w:r>
        <w:rPr>
          <w:rFonts w:ascii="Times New Roman" w:hAnsi="Times New Roman"/>
          <w:b w:val="false"/>
          <w:i w:val="false"/>
          <w:color w:val="000000"/>
          <w:sz w:val="22"/>
        </w:rPr>
        <w:t> </w:t>
      </w:r>
      <w:r>
        <w:rPr>
          <w:rFonts w:ascii="Times New Roman" w:hAnsi="Times New Roman"/>
          <w:b w:val="false"/>
          <w:i/>
          <w:color w:val="000000"/>
          <w:sz w:val="22"/>
        </w:rPr>
        <w:t xml:space="preserve">Issues not for consideration. </w:t>
      </w:r>
      <w:r>
        <w:rPr>
          <w:rFonts w:ascii="Times New Roman" w:hAnsi="Times New Roman"/>
          <w:b w:val="false"/>
          <w:i w:val="false"/>
          <w:color w:val="000000"/>
          <w:sz w:val="22"/>
        </w:rPr>
        <w:t>The following types of challenges are not a basis for a vendor appeal. An attempted appeal that fits within one of the following categories will be dismissed: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claim related to existing contract administration. The administration of an existing contract is within the discretion of the agency. Disputes between a vendor and the agency are resolved in accordance with dispute-resolution clauses in a contract and not through a vendor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claim of a subcontractor of an aggrieved vendor. Only vendors who submitted a bid or proposal in response to a solicitation have standing to appeal a notice of intent to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claim related to alternative procurement processes, such as purchase orders, statements of work, or other transactional documents executed under an existing contract, including such orders made under master agreements. Vendor appeals are allowed only in response to competitive solicitations and no other forms of state purchases.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claim related to suspensions or debarments of vendors.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7—2506.105</w:t>
      </w:r>
      <w:r>
        <w:rPr>
          <w:rFonts w:ascii="Times New Roman" w:hAnsi="Times New Roman"/>
          <w:b/>
          <w:i w:val="false"/>
          <w:color w:val="000000"/>
          <w:sz w:val="22"/>
        </w:rPr>
        <w:t xml:space="preserve">(17A) </w:t>
      </w:r>
      <w:r>
        <w:rPr>
          <w:rFonts w:ascii="Times New Roman" w:hAnsi="Times New Roman"/>
          <w:b/>
          <w:i w:val="false"/>
          <w:color w:val="000000"/>
          <w:sz w:val="22"/>
        </w:rPr>
        <w:t xml:space="preserve">Stay of agency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2506.105(1)</w:t>
      </w:r>
      <w:r>
        <w:rPr>
          <w:rFonts w:ascii="Times New Roman" w:hAnsi="Times New Roman"/>
          <w:b w:val="false"/>
          <w:i w:val="false"/>
          <w:color w:val="000000"/>
          <w:sz w:val="22"/>
        </w:rPr>
        <w:t> </w:t>
      </w:r>
      <w:r>
        <w:rPr>
          <w:rFonts w:ascii="Times New Roman" w:hAnsi="Times New Roman"/>
          <w:b w:val="false"/>
          <w:i/>
          <w:color w:val="000000"/>
          <w:sz w:val="22"/>
        </w:rPr>
        <w:t xml:space="preserve">When a vendor can request a stay. </w:t>
      </w:r>
      <w:r>
        <w:rPr>
          <w:rFonts w:ascii="Times New Roman" w:hAnsi="Times New Roman"/>
          <w:b w:val="false"/>
          <w:i w:val="false"/>
          <w:color w:val="000000"/>
          <w:sz w:val="22"/>
        </w:rPr>
        <w:t>A vendor appealing a notice of intent to award may request a stay of the award process by filing a request for stay with the notice of appeal. In requesting the stay of agency action, the vendor is obligated to submit an additional bond equal to 120 percent of the value of the contract at issue, including any extension years available under the awarded contract. This bond is in addition to other appeal bonds as set forth in this chapter. If the appealing vendor does not submit a sufficient bond with its request for stay, its request for stay will be denied and the issue of stay of agency action will be considered waived. If no stay is sought or the issue is deemed waived, the agency will proceed with the contract award and contract execution consistent with the notice of intent to award. The vendor forfeits the appeal bond if its claims are determined to be unreasonable, frivolous, or for purposes of delaying the award, in which case the vendor will also be ordered to pay all costs of the appeal of the agency and any intervening party. Those costs include but are not limited to the costs of the process, hearing costs, expert witness fees, and attorney’s fees and costs. Awarded costs may be extracted from the appeal bond. If a stay is not granted and the ultimate award to the incoming awardee overturned in an administrative appeal or on judicial review, the contracted vendor will be entitled to payment for goods and services rendered under the contract and the agency may continue the contract with the awarded vendor until a replacement vendor is under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2506.105(2)</w:t>
      </w:r>
      <w:r>
        <w:rPr>
          <w:rFonts w:ascii="Times New Roman" w:hAnsi="Times New Roman"/>
          <w:b w:val="false"/>
          <w:i w:val="false"/>
          <w:color w:val="000000"/>
          <w:sz w:val="22"/>
        </w:rPr>
        <w:t> </w:t>
      </w:r>
      <w:r>
        <w:rPr>
          <w:rFonts w:ascii="Times New Roman" w:hAnsi="Times New Roman"/>
          <w:b w:val="false"/>
          <w:i/>
          <w:color w:val="000000"/>
          <w:sz w:val="22"/>
        </w:rPr>
        <w:t xml:space="preserve">When the stay is granted. </w:t>
      </w:r>
      <w:r>
        <w:rPr>
          <w:rFonts w:ascii="Times New Roman" w:hAnsi="Times New Roman"/>
          <w:b w:val="false"/>
          <w:i w:val="false"/>
          <w:color w:val="000000"/>
          <w:sz w:val="22"/>
        </w:rPr>
        <w:t xml:space="preserve">The agency will consider factors set forth in Iowa Code section </w:t>
      </w:r>
      <w:hyperlink r:id="rId41">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r>
        <w:rPr>
          <w:rFonts w:ascii="Times New Roman" w:hAnsi="Times New Roman"/>
          <w:b w:val="false"/>
          <w:i w:val="false"/>
          <w:color w:val="000000"/>
          <w:sz w:val="22"/>
        </w:rPr>
        <w:t xml:space="preserve"> in deciding whether to grant the stay. The agency’s decision on whether to grant a stay will be made by the chief executive of the agency and will constitute final agency action on the request for stay for purposes of Iowa Code chapter </w:t>
      </w:r>
      <w:hyperlink r:id="rId4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2506.105(3)</w:t>
      </w:r>
      <w:r>
        <w:rPr>
          <w:rFonts w:ascii="Times New Roman" w:hAnsi="Times New Roman"/>
          <w:b w:val="false"/>
          <w:i w:val="false"/>
          <w:color w:val="000000"/>
          <w:sz w:val="22"/>
        </w:rPr>
        <w:t> </w:t>
      </w:r>
      <w:r>
        <w:rPr>
          <w:rFonts w:ascii="Times New Roman" w:hAnsi="Times New Roman"/>
          <w:b w:val="false"/>
          <w:i/>
          <w:color w:val="000000"/>
          <w:sz w:val="22"/>
        </w:rPr>
        <w:t xml:space="preserve">When the stay is vacated. </w:t>
      </w:r>
      <w:r>
        <w:rPr>
          <w:rFonts w:ascii="Times New Roman" w:hAnsi="Times New Roman"/>
          <w:b w:val="false"/>
          <w:i w:val="false"/>
          <w:color w:val="000000"/>
          <w:sz w:val="22"/>
        </w:rPr>
        <w:t>Any stay imposed on an award may be vacated upon application of the agency or another interested party upon a showing of good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7—2506.106</w:t>
      </w:r>
      <w:r>
        <w:rPr>
          <w:rFonts w:ascii="Times New Roman" w:hAnsi="Times New Roman"/>
          <w:b/>
          <w:i w:val="false"/>
          <w:color w:val="000000"/>
          <w:sz w:val="22"/>
        </w:rPr>
        <w:t xml:space="preserve">(17A) </w:t>
      </w:r>
      <w:r>
        <w:rPr>
          <w:rFonts w:ascii="Times New Roman" w:hAnsi="Times New Roman"/>
          <w:b/>
          <w:i w:val="false"/>
          <w:color w:val="000000"/>
          <w:sz w:val="22"/>
        </w:rPr>
        <w:t xml:space="preserve">Federal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2506.106(1)</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w:t>
      </w:r>
      <w:hyperlink r:id="rId43">
        <w:r>
          <w:rPr>
            <w:rStyle w:val="Hyperlink"/>
            <w:rFonts w:ascii="Times New Roman" w:hAnsi="Times New Roman"/>
            <w:b w:val="false"/>
            <w:i w:val="false"/>
            <w:color w:val="000000"/>
            <w:sz w:val="22"/>
          </w:rPr>
          <w:t>7—2506.101</w:t>
        </w:r>
      </w:hyperlink>
      <w:r>
        <w:rPr>
          <w:rFonts w:ascii="Times New Roman" w:hAnsi="Times New Roman"/>
          <w:b w:val="false"/>
          <w:i w:val="false"/>
          <w:color w:val="000000"/>
          <w:sz w:val="22"/>
        </w:rPr>
        <w:t xml:space="preserve">(17A) through </w:t>
      </w:r>
      <w:hyperlink r:id="rId44">
        <w:r>
          <w:rPr>
            <w:rStyle w:val="Hyperlink"/>
            <w:rFonts w:ascii="Times New Roman" w:hAnsi="Times New Roman"/>
            <w:b w:val="false"/>
            <w:i w:val="false"/>
            <w:color w:val="000000"/>
            <w:sz w:val="22"/>
          </w:rPr>
          <w:t>7—2506.105</w:t>
        </w:r>
      </w:hyperlink>
      <w:r>
        <w:rPr>
          <w:rFonts w:ascii="Times New Roman" w:hAnsi="Times New Roman"/>
          <w:b w:val="false"/>
          <w:i w:val="false"/>
          <w:color w:val="000000"/>
          <w:sz w:val="22"/>
        </w:rPr>
        <w:t>(17A) do not apply where they conflict with a governing federal regulation or would jeopardize the receipt of federal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2506.106(2)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attorney general determines that any portion of rules </w:t>
      </w:r>
      <w:hyperlink r:id="rId45">
        <w:r>
          <w:rPr>
            <w:rStyle w:val="Hyperlink"/>
            <w:rFonts w:ascii="Times New Roman" w:hAnsi="Times New Roman"/>
            <w:b w:val="false"/>
            <w:i w:val="false"/>
            <w:color w:val="000000"/>
            <w:sz w:val="22"/>
          </w:rPr>
          <w:t>7—2506.101</w:t>
        </w:r>
      </w:hyperlink>
      <w:r>
        <w:rPr>
          <w:rFonts w:ascii="Times New Roman" w:hAnsi="Times New Roman"/>
          <w:b w:val="false"/>
          <w:i w:val="false"/>
          <w:color w:val="000000"/>
          <w:sz w:val="22"/>
        </w:rPr>
        <w:t xml:space="preserve">(17A) through </w:t>
      </w:r>
      <w:hyperlink r:id="rId46">
        <w:r>
          <w:rPr>
            <w:rStyle w:val="Hyperlink"/>
            <w:rFonts w:ascii="Times New Roman" w:hAnsi="Times New Roman"/>
            <w:b w:val="false"/>
            <w:i w:val="false"/>
            <w:color w:val="000000"/>
            <w:sz w:val="22"/>
          </w:rPr>
          <w:t>7—2506.105</w:t>
        </w:r>
      </w:hyperlink>
      <w:r>
        <w:rPr>
          <w:rFonts w:ascii="Times New Roman" w:hAnsi="Times New Roman"/>
          <w:b w:val="false"/>
          <w:i w:val="false"/>
          <w:color w:val="000000"/>
          <w:sz w:val="22"/>
        </w:rPr>
        <w:t>(17A) would cause the federal government to deny funds or services that would otherwise be available to an agency of this state, that portion will be suspended for that agency but only to the extent necessary to prevent denial of the federal funds or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0038D, IAB 2/4/26, effective 1/13/26]</w:t>
      </w:r>
    </w:p>
    <w:p>
      <w:pPr>
        <w:spacing w:before="0" w:after="0"/>
        <w:ind w:left="120"/>
        <w:jc w:val="center"/>
      </w:pPr>
      <w:r>
        <w:rPr>
          <w:rFonts w:ascii="Times New Roman" w:hAnsi="Times New Roman"/>
          <w:b w:val="false"/>
          <w:i w:val="false"/>
          <w:color w:val="000000"/>
          <w:sz w:val="21"/>
        </w:rPr>
        <w:t>[Filed ARC 0190D</w:t>
      </w:r>
      <w:r>
        <w:rPr>
          <w:rFonts w:ascii="Times New Roman" w:hAnsi="Times New Roman"/>
          <w:b w:val="false"/>
          <w:i w:val="false"/>
          <w:color w:val="000000"/>
          <w:sz w:val="21"/>
        </w:rPr>
        <w:t xml:space="preserve"> (Notice ARC 0037D, IAB 2/4/26)</w:t>
      </w:r>
      <w:r>
        <w:rPr>
          <w:rFonts w:ascii="Times New Roman" w:hAnsi="Times New Roman"/>
          <w:b w:val="false"/>
          <w:i w:val="false"/>
          <w:color w:val="000000"/>
          <w:sz w:val="21"/>
        </w:rPr>
        <w:t>, IAB 4/1/26, effective 5/6/26]</w:t>
      </w:r>
    </w:p>
    <w:p>
      <w:pPr>
        <w:spacing w:before="0" w:after="0"/>
        <w:ind w:left="120"/>
        <w:jc w:val="center"/>
      </w:pPr>
      <w:r>
        <w:rPr>
          <w:rFonts w:ascii="Times New Roman" w:hAnsi="Times New Roman"/>
          <w:b w:val="false"/>
          <w:i w:val="false"/>
          <w:color w:val="000000"/>
          <w:sz w:val="21"/>
        </w:rPr>
        <w:t>[Editorial change: IAC Supplement 5/27/26]</w:t>
      </w:r>
    </w:p>
    <w:sectPr>
      <w:footerReference r:id="rId4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17A.10A.pdf" Type="http://schemas.openxmlformats.org/officeDocument/2006/relationships/hyperlink" Id="rId6"/>
    <Relationship TargetMode="External" Target="https://www.legis.iowa.gov/docs/ico/chapter/17A.11.pdf" Type="http://schemas.openxmlformats.org/officeDocument/2006/relationships/hyperlink" Id="rId7"/>
    <Relationship TargetMode="External" Target="https://www.legis.iowa.gov/docs/ico/chapter/4.1.pdf" Type="http://schemas.openxmlformats.org/officeDocument/2006/relationships/hyperlink" Id="rId8"/>
    <Relationship TargetMode="External" Target="https://www.legis.iowa.gov/docs/ico/chapter/17A.11.pdf" Type="http://schemas.openxmlformats.org/officeDocument/2006/relationships/hyperlink" Id="rId9"/>
    <Relationship TargetMode="External" Target="https://www.legis.iowa.gov/docs/iac/rule/7.2506.6.pdf" Type="http://schemas.openxmlformats.org/officeDocument/2006/relationships/hyperlink" Id="rId10"/>
    <Relationship TargetMode="External" Target="https://www.legis.iowa.gov/docs/ico/chapter/17A.11.pdf" Type="http://schemas.openxmlformats.org/officeDocument/2006/relationships/hyperlink" Id="rId11"/>
    <Relationship TargetMode="External" Target="https://www.legis.iowa.gov/docs/ico/chapter/17A.17.pdf" Type="http://schemas.openxmlformats.org/officeDocument/2006/relationships/hyperlink" Id="rId12"/>
    <Relationship TargetMode="External" Target="https://www.legis.iowa.gov/docs/iac/rule/7.2506.9.pdf" Type="http://schemas.openxmlformats.org/officeDocument/2006/relationships/hyperlink" Id="rId13"/>
    <Relationship TargetMode="External" Target="https://www.legis.iowa.gov/docs/iac/rule/7.2506.23.pdf" Type="http://schemas.openxmlformats.org/officeDocument/2006/relationships/hyperlink" Id="rId14"/>
    <Relationship TargetMode="External" Target="https://www.legis.iowa.gov/docs/ico/chapter/17A.17.pdf" Type="http://schemas.openxmlformats.org/officeDocument/2006/relationships/hyperlink" Id="rId15"/>
    <Relationship TargetMode="External" Target="https://www.legis.iowa.gov/docs/iac/rule/7.2506.25.pdf" Type="http://schemas.openxmlformats.org/officeDocument/2006/relationships/hyperlink" Id="rId16"/>
    <Relationship TargetMode="External" Target="https://www.legis.iowa.gov/docs/iac/rule/7.2506.29.pdf" Type="http://schemas.openxmlformats.org/officeDocument/2006/relationships/hyperlink" Id="rId17"/>
    <Relationship TargetMode="External" Target="https://www.legis.iowa.gov/docs/ico/chapter/17A.16.pdf" Type="http://schemas.openxmlformats.org/officeDocument/2006/relationships/hyperlink" Id="rId18"/>
    <Relationship TargetMode="External" Target="https://www.legis.iowa.gov/docs/iac/rule/7.2506.12.pdf" Type="http://schemas.openxmlformats.org/officeDocument/2006/relationships/hyperlink" Id="rId19"/>
    <Relationship TargetMode="External" Target="https://www.legis.iowa.gov/docs/iac/rule/7.2506.13.pdf" Type="http://schemas.openxmlformats.org/officeDocument/2006/relationships/hyperlink" Id="rId20"/>
    <Relationship TargetMode="External" Target="https://www.legis.iowa.gov/docs/iac/rule/7.2506.28.pdf" Type="http://schemas.openxmlformats.org/officeDocument/2006/relationships/hyperlink" Id="rId21"/>
    <Relationship TargetMode="External" Target="https://www.legis.iowa.gov/docs/iac/rule/7.2506.27.pdf" Type="http://schemas.openxmlformats.org/officeDocument/2006/relationships/hyperlink" Id="rId22"/>
    <Relationship TargetMode="External" Target="https://www.legis.iowa.gov/docs/ico/chapter/17A.14.pdf" Type="http://schemas.openxmlformats.org/officeDocument/2006/relationships/hyperlink" Id="rId23"/>
    <Relationship TargetMode="External" Target="https://www.legis.iowa.gov/docs/iac/rule/7.2506.27.pdf" Type="http://schemas.openxmlformats.org/officeDocument/2006/relationships/hyperlink" Id="rId24"/>
    <Relationship TargetMode="External" Target="https://www.legis.iowa.gov/docs/iac/rule/7.2506.25.pdf" Type="http://schemas.openxmlformats.org/officeDocument/2006/relationships/hyperlink" Id="rId25"/>
    <Relationship TargetMode="External" Target="https://www.legis.iowa.gov/docs/iac/rule/7.2506.29.pdf" Type="http://schemas.openxmlformats.org/officeDocument/2006/relationships/hyperlink" Id="rId26"/>
    <Relationship TargetMode="External" Target="https://www.legis.iowa.gov/docs/iac/rule/7.2506.12.pdf" Type="http://schemas.openxmlformats.org/officeDocument/2006/relationships/hyperlink" Id="rId27"/>
    <Relationship TargetMode="External" Target="https://www.legis.iowa.gov/docs/iac/rule/7.2506.23.pdf" Type="http://schemas.openxmlformats.org/officeDocument/2006/relationships/hyperlink" Id="rId28"/>
    <Relationship TargetMode="External" Target="https://www.legis.iowa.gov/docs/ico/chapter/17A.13.pdf" Type="http://schemas.openxmlformats.org/officeDocument/2006/relationships/hyperlink" Id="rId29"/>
    <Relationship TargetMode="External" Target="https://www.legis.iowa.gov/docs/iac/rule/7.2506.27.pdf" Type="http://schemas.openxmlformats.org/officeDocument/2006/relationships/hyperlink" Id="rId30"/>
    <Relationship TargetMode="External" Target="https://www.legis.iowa.gov/docs/iac/rule/7.2506.27.pdf" Type="http://schemas.openxmlformats.org/officeDocument/2006/relationships/hyperlink" Id="rId31"/>
    <Relationship TargetMode="External" Target="https://www.legis.iowa.gov/docs/ico/chapter/17A.19.pdf" Type="http://schemas.openxmlformats.org/officeDocument/2006/relationships/hyperlink" Id="rId32"/>
    <Relationship TargetMode="External" Target="https://www.legis.iowa.gov/docs/ico/chapter/17A.18A.pdf" Type="http://schemas.openxmlformats.org/officeDocument/2006/relationships/hyperlink" Id="rId33"/>
    <Relationship TargetMode="External" Target="https://www.legis.iowa.gov/docs/iac/rule/7.2506.101.pdf" Type="http://schemas.openxmlformats.org/officeDocument/2006/relationships/hyperlink" Id="rId34"/>
    <Relationship TargetMode="External" Target="https://www.legis.iowa.gov/docs/iac/rule/7.2506.105.pdf" Type="http://schemas.openxmlformats.org/officeDocument/2006/relationships/hyperlink" Id="rId35"/>
    <Relationship TargetMode="External" Target="https://www.legis.iowa.gov/docs/ico/chapter/17A.19.pdf" Type="http://schemas.openxmlformats.org/officeDocument/2006/relationships/hyperlink" Id="rId36"/>
    <Relationship TargetMode="External" Target="https://www.legis.iowa.gov/docs/ico/chapter/72.3.pdf" Type="http://schemas.openxmlformats.org/officeDocument/2006/relationships/hyperlink" Id="rId37"/>
    <Relationship TargetMode="External" Target="https://www.legis.iowa.gov/docs/iac/rule/7.2506.102.pdf" Type="http://schemas.openxmlformats.org/officeDocument/2006/relationships/hyperlink" Id="rId38"/>
    <Relationship TargetMode="External" Target="https://www.legis.iowa.gov/docs/iac/rule/7.2506.3.pdf" Type="http://schemas.openxmlformats.org/officeDocument/2006/relationships/hyperlink" Id="rId39"/>
    <Relationship TargetMode="External" Target="https://www.legis.iowa.gov/docs/iac/rule/7.2506.102.pdf" Type="http://schemas.openxmlformats.org/officeDocument/2006/relationships/hyperlink" Id="rId40"/>
    <Relationship TargetMode="External" Target="https://www.legis.iowa.gov/docs/ico/chapter/17A.19.pdf" Type="http://schemas.openxmlformats.org/officeDocument/2006/relationships/hyperlink" Id="rId41"/>
    <Relationship TargetMode="External" Target="https://www.legis.iowa.gov/docs/ico/chapter/17A.pdf" Type="http://schemas.openxmlformats.org/officeDocument/2006/relationships/hyperlink" Id="rId42"/>
    <Relationship TargetMode="External" Target="https://www.legis.iowa.gov/docs/iac/rule/7.2506.101.pdf" Type="http://schemas.openxmlformats.org/officeDocument/2006/relationships/hyperlink" Id="rId43"/>
    <Relationship TargetMode="External" Target="https://www.legis.iowa.gov/docs/iac/rule/7.2506.105.pdf" Type="http://schemas.openxmlformats.org/officeDocument/2006/relationships/hyperlink" Id="rId44"/>
    <Relationship TargetMode="External" Target="https://www.legis.iowa.gov/docs/iac/rule/7.2506.101.pdf" Type="http://schemas.openxmlformats.org/officeDocument/2006/relationships/hyperlink" Id="rId45"/>
    <Relationship TargetMode="External" Target="https://www.legis.iowa.gov/docs/iac/rule/7.2506.105.pdf" Type="http://schemas.openxmlformats.org/officeDocument/2006/relationships/hyperlink" Id="rId46"/>
    <Relationship TargetMode="External" Target="https://www.legis.iowa.gov/docs/ico/chapter/17A.pdf" Type="http://schemas.openxmlformats.org/officeDocument/2006/relationships/hyperlink" Id="rId47"/>
    <Relationship Target="footer.xml" Type="http://schemas.openxmlformats.org/officeDocument/2006/relationships/footer"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