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2504</w:t>
      </w:r>
    </w:p>
    <w:p>
      <w:pPr>
        <w:spacing w:before="0" w:after="0"/>
        <w:ind w:left="120"/>
        <w:jc w:val="center"/>
      </w:pPr>
      <w:r>
        <w:rPr>
          <w:rFonts w:ascii="Times New Roman" w:hAnsi="Times New Roman"/>
          <w:b w:val="false"/>
          <w:i w:val="false"/>
          <w:color w:val="000000"/>
          <w:sz w:val="21"/>
        </w:rPr>
        <w:t>RULE WAIVERS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5/6/31</w:t>
      </w:r>
    </w:p>
    <w:p>
      <w:pPr>
        <w:spacing w:before="0" w:after="0"/>
        <w:ind w:left="120"/>
        <w:jc w:val="both"/>
      </w:pPr>
      <w:r>
        <w:rPr>
          <w:rFonts w:ascii="Times New Roman" w:hAnsi="Times New Roman"/>
          <w:b/>
          <w:i w:val="false"/>
          <w:color w:val="000000"/>
          <w:sz w:val="22"/>
        </w:rPr>
        <w:t>7—2504.1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2504.1(1)</w:t>
      </w:r>
      <w:r>
        <w:rPr>
          <w:rFonts w:ascii="Times New Roman" w:hAnsi="Times New Roman"/>
          <w:b w:val="false"/>
          <w:i w:val="false"/>
          <w:color w:val="000000"/>
          <w:sz w:val="22"/>
        </w:rPr>
        <w:t> </w:t>
      </w:r>
      <w:r>
        <w:rPr>
          <w:rFonts w:ascii="Times New Roman" w:hAnsi="Times New Roman"/>
          <w:b w:val="false"/>
          <w:i w:val="false"/>
          <w:color w:val="000000"/>
          <w:sz w:val="22"/>
        </w:rPr>
        <w:t>Any person may submit a petition to waive, in whole or in part, any rule in the agency’s jurisdiction by submitting the petition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petitioner bears the burden of persuasion to show by clear and convincing evidence all the factors provided in Iowa Code section </w:t>
      </w:r>
      <w:hyperlink r:id="rId5">
        <w:r>
          <w:rPr>
            <w:rStyle w:val="Hyperlink"/>
            <w:rFonts w:ascii="Times New Roman" w:hAnsi="Times New Roman"/>
            <w:b w:val="false"/>
            <w:i w:val="false"/>
            <w:color w:val="000000"/>
            <w:sz w:val="22"/>
          </w:rPr>
          <w:t>17A.9A(2)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2504.1(3)</w:t>
      </w:r>
      <w:r>
        <w:rPr>
          <w:rFonts w:ascii="Times New Roman" w:hAnsi="Times New Roman"/>
          <w:b w:val="false"/>
          <w:i w:val="false"/>
          <w:color w:val="000000"/>
          <w:sz w:val="22"/>
        </w:rPr>
        <w:t> </w:t>
      </w:r>
      <w:r>
        <w:rPr>
          <w:rFonts w:ascii="Times New Roman" w:hAnsi="Times New Roman"/>
          <w:b w:val="false"/>
          <w:i w:val="false"/>
          <w:color w:val="000000"/>
          <w:sz w:val="22"/>
        </w:rPr>
        <w:t>A petitioner seeking to have a rule waived is obligated to file the petition for waiver at the agency’s address or agency’s email. The petition for waiver is considered filed when received at either address. The agency will provide the petitioner with a file-stamped copy of the petition upon request. The agency can only accept petitions for waiver that are typewritten or legibly handwritten in ink. Petitioners are also obligated to submit the petition so that it substantially conforms with the following:</w:t>
      </w:r>
    </w:p>
    <w:tbl>
      <w:tblPr>
        <w:tblW w:w="0" w:type="auto"/>
        <w:tblCellSpacing w:w="0" w:type="auto"/>
        <w:tblBorders>
          <w:top w:val="none"/>
          <w:left w:val="none"/>
          <w:bottom w:val="single" w:color="000000" w:sz="8"/>
          <w:right w:val="none"/>
          <w:insideH w:val="none"/>
          <w:insideV w:val="none"/>
        </w:tblBorders>
        <w:tblLayout w:type="fixed"/>
      </w:tblPr>
      <w:tblGrid>
        <w:gridCol w:w="5595"/>
        <w:gridCol w:w="5595"/>
      </w:tblGrid>
      <w:tr>
        <w:trPr>
          <w:trHeight w:val="270"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BEFORE THE [INSERT NAME OF AGENCY]</w:t>
            </w:r>
          </w:p>
        </w:tc>
      </w:tr>
      <w:tr>
        <w:trPr>
          <w:trHeight w:val="960" w:hRule="atLeast"/>
        </w:trPr>
        <w:tc>
          <w:tcPr>
            <w:tcW w:w="5595" w:type="dxa"/>
            <w:tcBorders>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Petition by [name of petitioner]</w:t>
            </w:r>
            <w:r>
              <w:br/>
            </w:r>
            <w:r>
              <w:rPr>
                <w:rFonts w:ascii="Times New Roman" w:hAnsi="Times New Roman"/>
                <w:b w:val="false"/>
                <w:i w:val="false"/>
                <w:color w:val="000000"/>
                <w:sz w:val="20"/>
              </w:rPr>
              <w:t>for the waiver of [rule citation]</w:t>
            </w:r>
            <w:r>
              <w:br/>
            </w:r>
            <w:r>
              <w:rPr>
                <w:rFonts w:ascii="Times New Roman" w:hAnsi="Times New Roman"/>
                <w:b w:val="false"/>
                <w:i w:val="false"/>
                <w:color w:val="000000"/>
                <w:sz w:val="20"/>
              </w:rPr>
              <w:t>related to [state subject matter].</w:t>
            </w:r>
          </w:p>
          <w:p>
            <w:pPr>
              <w:spacing w:before="0" w:after="0"/>
              <w:ind w:left="160"/>
              <w:jc w:val="left"/>
            </w:pPr>
            <w:r>
              <w:rPr>
                <w:rFonts w:ascii="Times New Roman" w:hAnsi="Times New Roman"/>
                <w:b w:val="false"/>
                <w:i w:val="false"/>
                <w:color w:val="000000"/>
                <w:sz w:val="20"/>
              </w:rPr>
              <w:t> </w:t>
            </w:r>
          </w:p>
        </w:tc>
        <w:tc>
          <w:tcPr>
            <w:tcW w:w="559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PETITION FOR WAIVER</w:t>
            </w:r>
          </w:p>
        </w:tc>
      </w:tr>
    </w:tbl>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petitioner’s name, mailing address, email, and telephone number or, if applicable, petitioner’s representative.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rule(s) that are the subject of the petition.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scope and duration of the waiver.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All relevant facts and reasons the petitioner believes justify the waiver, including specific information satisfying the requirements of subrule </w:t>
      </w:r>
      <w:hyperlink r:id="rId6">
        <w:r>
          <w:rPr>
            <w:rStyle w:val="Hyperlink"/>
            <w:rFonts w:ascii="Times New Roman" w:hAnsi="Times New Roman"/>
            <w:b w:val="false"/>
            <w:i w:val="false"/>
            <w:color w:val="000000"/>
            <w:sz w:val="22"/>
          </w:rPr>
          <w:t>2504.1(2)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applicable, the case number of any contested case related to the petition.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If applicable, a history of all previous contacts between the petitioner and the agency that may relate to or be affected by the rule(s) that are the subject of the petition.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If known, information about the agency’s treatment of other persons in similar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If known, the name and contact information of any person who would be adversely affected or disadvantaged if the agency waives the rule.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If applicable, signed releases from any person with knowledge relevant to the petition.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An attestation that all information in the petition is true and accurate.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 dated signature by the petitioner or, if applicable, petitioner’s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7—2504.2</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and service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2504.2(1)</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 xml:space="preserve">All petitions for waiver, petitions for intervention, briefs, or other papers in a proceeding for a waiver will be filed with the agency at the agency’s address or agency’s email.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2504.2(2)</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a person filing a petition for waiver, petition for intervention, brief, or other paper in a proceeding for a waiver is obligated to concurrently serve the document on each party to the proceeding and on all other persons identified in the petition for waiver or petition for intervention as affected by or interested in the questions presented. If the petitioner lacks sufficient information to effectuate service, the petitioner will notify the agency and the agency will thereafter attempt to effectuate service on the interested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2504.2(3)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or electronic delivery. </w:t>
      </w:r>
      <w:r>
        <w:rPr>
          <w:rFonts w:ascii="Times New Roman" w:hAnsi="Times New Roman"/>
          <w:b w:val="false"/>
          <w:i w:val="false"/>
          <w:color w:val="000000"/>
          <w:sz w:val="22"/>
        </w:rPr>
        <w:t xml:space="preserve">Rule </w:t>
      </w:r>
      <w:hyperlink r:id="rId7">
        <w:r>
          <w:rPr>
            <w:rStyle w:val="Hyperlink"/>
            <w:rFonts w:ascii="Times New Roman" w:hAnsi="Times New Roman"/>
            <w:b w:val="false"/>
            <w:i w:val="false"/>
            <w:color w:val="000000"/>
            <w:sz w:val="22"/>
          </w:rPr>
          <w:t>7—2506.12</w:t>
        </w:r>
      </w:hyperlink>
      <w:r>
        <w:rPr>
          <w:rFonts w:ascii="Times New Roman" w:hAnsi="Times New Roman"/>
          <w:b w:val="false"/>
          <w:i w:val="false"/>
          <w:color w:val="000000"/>
          <w:sz w:val="22"/>
        </w:rPr>
        <w:t>(17A) governs the method of service, time of filing, and proof of mailing or electronic delivery.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7—2504.3</w:t>
      </w:r>
      <w:r>
        <w:rPr>
          <w:rFonts w:ascii="Times New Roman" w:hAnsi="Times New Roman"/>
          <w:b/>
          <w:i w:val="false"/>
          <w:color w:val="000000"/>
          <w:sz w:val="22"/>
        </w:rPr>
        <w:t xml:space="preserve">(17A) </w:t>
      </w:r>
      <w:r>
        <w:rPr>
          <w:rFonts w:ascii="Times New Roman" w:hAnsi="Times New Roman"/>
          <w:b/>
          <w:i w:val="false"/>
          <w:color w:val="000000"/>
          <w:sz w:val="22"/>
        </w:rPr>
        <w:t xml:space="preserve">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2504.3(1)</w:t>
      </w:r>
      <w:r>
        <w:rPr>
          <w:rFonts w:ascii="Times New Roman" w:hAnsi="Times New Roman"/>
          <w:b w:val="false"/>
          <w:i w:val="false"/>
          <w:color w:val="000000"/>
          <w:sz w:val="22"/>
        </w:rPr>
        <w:t> </w:t>
      </w:r>
      <w:r>
        <w:rPr>
          <w:rFonts w:ascii="Times New Roman" w:hAnsi="Times New Roman"/>
          <w:b w:val="false"/>
          <w:i w:val="false"/>
          <w:color w:val="000000"/>
          <w:sz w:val="22"/>
        </w:rPr>
        <w:t>The agency may notify the petitioner of the receipt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will evaluate the petition in accordance with Iowa Code section </w:t>
      </w:r>
      <w:hyperlink r:id="rId8">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The agency may request additional information from the petitioner or any person as part of its evaluation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information will be obtained by an evidentiary hearing consistent with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petition was filed with a request for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evidentiary hearing is required by any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agency requests an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evidentiary hearing is not required, the agency’s request for additional information may be informal.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7—2504.4</w:t>
      </w:r>
      <w:r>
        <w:rPr>
          <w:rFonts w:ascii="Times New Roman" w:hAnsi="Times New Roman"/>
          <w:b/>
          <w:i w:val="false"/>
          <w:color w:val="000000"/>
          <w:sz w:val="22"/>
        </w:rPr>
        <w:t xml:space="preserve">(17A) </w:t>
      </w:r>
      <w:r>
        <w:rPr>
          <w:rFonts w:ascii="Times New Roman" w:hAnsi="Times New Roman"/>
          <w:b/>
          <w:i w:val="false"/>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2504.4(1)</w:t>
      </w:r>
      <w:r>
        <w:rPr>
          <w:rFonts w:ascii="Times New Roman" w:hAnsi="Times New Roman"/>
          <w:b w:val="false"/>
          <w:i w:val="false"/>
          <w:color w:val="000000"/>
          <w:sz w:val="22"/>
        </w:rPr>
        <w:t> </w:t>
      </w:r>
      <w:r>
        <w:rPr>
          <w:rFonts w:ascii="Times New Roman" w:hAnsi="Times New Roman"/>
          <w:b w:val="false"/>
          <w:i w:val="false"/>
          <w:color w:val="000000"/>
          <w:sz w:val="22"/>
        </w:rPr>
        <w:t>The agency will issue a written decision granting or denying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2504.4(2)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issuing a decision, the agency will index, file, make publicly available, and transmit its decision as required by Iowa Code section </w:t>
      </w:r>
      <w:hyperlink r:id="rId10">
        <w:r>
          <w:rPr>
            <w:rStyle w:val="Hyperlink"/>
            <w:rFonts w:ascii="Times New Roman" w:hAnsi="Times New Roman"/>
            <w:b w:val="false"/>
            <w:i w:val="false"/>
            <w:color w:val="000000"/>
            <w:sz w:val="22"/>
          </w:rPr>
          <w:t>17A.9A(4)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2504.4(3)</w:t>
      </w:r>
      <w:r>
        <w:rPr>
          <w:rFonts w:ascii="Times New Roman" w:hAnsi="Times New Roman"/>
          <w:b w:val="false"/>
          <w:i w:val="false"/>
          <w:color w:val="000000"/>
          <w:sz w:val="22"/>
        </w:rPr>
        <w:t> </w:t>
      </w:r>
      <w:r>
        <w:rPr>
          <w:rFonts w:ascii="Times New Roman" w:hAnsi="Times New Roman"/>
          <w:b w:val="false"/>
          <w:i w:val="false"/>
          <w:color w:val="000000"/>
          <w:sz w:val="22"/>
        </w:rPr>
        <w:t>If the agency does not issue a decision on a petition for waiver within 180 days from the date of its receipt by the agency, the petition is deemed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2504.4(4)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agency grants a petition in whole or in part, the waiver granted will comply with the requirements of Iowa Code section </w:t>
      </w:r>
      <w:hyperlink r:id="rId11">
        <w:r>
          <w:rPr>
            <w:rStyle w:val="Hyperlink"/>
            <w:rFonts w:ascii="Times New Roman" w:hAnsi="Times New Roman"/>
            <w:b w:val="false"/>
            <w:i w:val="false"/>
            <w:color w:val="000000"/>
            <w:sz w:val="22"/>
          </w:rPr>
          <w:t>17A.9A(3)</w:t>
        </w:r>
      </w:hyperlink>
      <w:r>
        <w:rPr>
          <w:rFonts w:ascii="Times New Roman" w:hAnsi="Times New Roman"/>
          <w:b w:val="false"/>
          <w:i w:val="false"/>
          <w:color w:val="000000"/>
          <w:sz w:val="22"/>
        </w:rPr>
        <w:t>, including content, duration, conditions, and renewability.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7—2504.5</w:t>
      </w:r>
      <w:r>
        <w:rPr>
          <w:rFonts w:ascii="Times New Roman" w:hAnsi="Times New Roman"/>
          <w:b/>
          <w:i w:val="false"/>
          <w:color w:val="000000"/>
          <w:sz w:val="22"/>
        </w:rPr>
        <w:t xml:space="preserve">(17A) </w:t>
      </w:r>
      <w:r>
        <w:rPr>
          <w:rFonts w:ascii="Times New Roman" w:hAnsi="Times New Roman"/>
          <w:b/>
          <w:i w:val="false"/>
          <w:color w:val="000000"/>
          <w:sz w:val="22"/>
        </w:rPr>
        <w:t xml:space="preserve">Remedies.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2504.5(1)</w:t>
      </w:r>
      <w:r>
        <w:rPr>
          <w:rFonts w:ascii="Times New Roman" w:hAnsi="Times New Roman"/>
          <w:b w:val="false"/>
          <w:i w:val="false"/>
          <w:color w:val="000000"/>
          <w:sz w:val="22"/>
        </w:rPr>
        <w:t> </w:t>
      </w:r>
      <w:r>
        <w:rPr>
          <w:rFonts w:ascii="Times New Roman" w:hAnsi="Times New Roman"/>
          <w:b w:val="false"/>
          <w:i w:val="false"/>
          <w:color w:val="000000"/>
          <w:sz w:val="22"/>
        </w:rPr>
        <w:t>With appropriate notice, the agency may withdraw, cancel, or modify any waiver granted under this rule if the agency issues a written order finding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petitioner withheld or misrepresented material facts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no longer adequately protects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waiver may burden the substantial rights of any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petitioner has not complied with any of the waiver conditions imposed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2504.5(2)</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petitioner aggrieved by any final order of the agency may seek judicial review in accordance with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0038D, IAB 2/4/26, effective 1/13/26]</w:t>
      </w:r>
    </w:p>
    <w:p>
      <w:pPr>
        <w:spacing w:before="0" w:after="0"/>
        <w:ind w:left="120"/>
        <w:jc w:val="center"/>
      </w:pPr>
      <w:r>
        <w:rPr>
          <w:rFonts w:ascii="Times New Roman" w:hAnsi="Times New Roman"/>
          <w:b w:val="false"/>
          <w:i w:val="false"/>
          <w:color w:val="000000"/>
          <w:sz w:val="21"/>
        </w:rPr>
        <w:t>[Filed ARC 0190D</w:t>
      </w:r>
      <w:r>
        <w:rPr>
          <w:rFonts w:ascii="Times New Roman" w:hAnsi="Times New Roman"/>
          <w:b w:val="false"/>
          <w:i w:val="false"/>
          <w:color w:val="000000"/>
          <w:sz w:val="21"/>
        </w:rPr>
        <w:t xml:space="preserve"> (Notice ARC 0037D, IAB 2/4/26)</w:t>
      </w:r>
      <w:r>
        <w:rPr>
          <w:rFonts w:ascii="Times New Roman" w:hAnsi="Times New Roman"/>
          <w:b w:val="false"/>
          <w:i w:val="false"/>
          <w:color w:val="000000"/>
          <w:sz w:val="21"/>
        </w:rPr>
        <w:t>, IAB 4/1/26, effective 5/6/26]</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A.pdf" Type="http://schemas.openxmlformats.org/officeDocument/2006/relationships/hyperlink" Id="rId5"/>
    <Relationship TargetMode="External" Target="https://www.legis.iowa.gov/docs/iac/rule/7.2504.1.pdf" Type="http://schemas.openxmlformats.org/officeDocument/2006/relationships/hyperlink" Id="rId6"/>
    <Relationship TargetMode="External" Target="https://www.legis.iowa.gov/docs/iac/rule/7.2506.12.pdf" Type="http://schemas.openxmlformats.org/officeDocument/2006/relationships/hyperlink" Id="rId7"/>
    <Relationship TargetMode="External" Target="https://www.legis.iowa.gov/docs/ico/chapter/17A.9A.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17A.9A.pdf" Type="http://schemas.openxmlformats.org/officeDocument/2006/relationships/hyperlink" Id="rId10"/>
    <Relationship TargetMode="External" Target="https://www.legis.iowa.gov/docs/ico/chapter/17A.9A.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17A.9A.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