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2503</w:t>
      </w:r>
    </w:p>
    <w:p>
      <w:pPr>
        <w:spacing w:before="0" w:after="0"/>
        <w:ind w:left="120"/>
        <w:jc w:val="center"/>
      </w:pPr>
      <w:r>
        <w:rPr>
          <w:rFonts w:ascii="Times New Roman" w:hAnsi="Times New Roman"/>
          <w:b w:val="false"/>
          <w:i w:val="false"/>
          <w:color w:val="000000"/>
          <w:sz w:val="21"/>
        </w:rPr>
        <w:t>DECLARATORY ORDERS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5/6/31</w:t>
      </w:r>
    </w:p>
    <w:p>
      <w:pPr>
        <w:spacing w:before="0" w:after="0"/>
        <w:ind w:left="120"/>
        <w:jc w:val="both"/>
      </w:pPr>
      <w:r>
        <w:rPr>
          <w:rFonts w:ascii="Times New Roman" w:hAnsi="Times New Roman"/>
          <w:b/>
          <w:i w:val="false"/>
          <w:color w:val="000000"/>
          <w:sz w:val="22"/>
        </w:rPr>
        <w:t>7—2503.1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2503.1(1)</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may file a petition with the agency requesting that the agency issue a declaratory order in accordance with Iowa Code section </w:t>
      </w:r>
      <w:hyperlink r:id="rId5">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 The petition can only be reviewed by the agency if the agency has the authority to consider the petition. Petitioners seeking a declaratory order are obligated to file the petition at the agency’s address or agency’s email. The petition is considered filed when received at either address. The agency will provide the petitioner with a file-stamped copy of the petition upon request. The agency can only accept petitions that are typewritten or legibly handwritten in ink. Petitioners are also obligated to submit the petition so that it substantially conforms to the following:</w:t>
      </w:r>
    </w:p>
    <w:tbl>
      <w:tblPr>
        <w:tblW w:w="0" w:type="auto"/>
        <w:tblCellSpacing w:w="0" w:type="auto"/>
        <w:tblBorders>
          <w:top w:val="none"/>
          <w:left w:val="none"/>
          <w:bottom w:val="single" w:color="000000" w:sz="8"/>
          <w:right w:val="none"/>
          <w:insideH w:val="none"/>
          <w:insideV w:val="none"/>
        </w:tblBorders>
        <w:tblLayout w:type="fixed"/>
      </w:tblPr>
      <w:tblGrid>
        <w:gridCol w:w="5595"/>
        <w:gridCol w:w="5595"/>
      </w:tblGrid>
      <w:tr>
        <w:trPr>
          <w:trHeight w:val="270"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[AGENCY NAME]</w:t>
            </w:r>
          </w:p>
        </w:tc>
      </w:tr>
      <w:tr>
        <w:trPr>
          <w:trHeight w:val="960" w:hRule="atLeast"/>
        </w:trPr>
        <w:tc>
          <w:tcPr>
            <w:tcW w:w="5595" w:type="dxa"/>
            <w:tcBorders>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20"/>
              </w:rPr>
              <w:t> </w:t>
            </w:r>
          </w:p>
          <w:p>
            <w:pPr>
              <w:spacing w:before="0" w:after="0"/>
              <w:ind w:left="160"/>
              <w:jc w:val="left"/>
            </w:pPr>
            <w:r>
              <w:rPr>
                <w:rFonts w:ascii="Times New Roman" w:hAnsi="Times New Roman"/>
                <w:b w:val="false"/>
                <w:i w:val="false"/>
                <w:color w:val="000000"/>
                <w:sz w:val="20"/>
              </w:rPr>
              <w:t>Petition by [name of petitioner]</w:t>
            </w:r>
            <w:r>
              <w:br/>
            </w:r>
            <w:r>
              <w:rPr>
                <w:rFonts w:ascii="Times New Roman" w:hAnsi="Times New Roman"/>
                <w:b w:val="false"/>
                <w:i w:val="false"/>
                <w:color w:val="000000"/>
                <w:sz w:val="20"/>
              </w:rPr>
              <w:t>for a declaratory order on</w:t>
            </w:r>
            <w:r>
              <w:br/>
            </w:r>
            <w:r>
              <w:rPr>
                <w:rFonts w:ascii="Times New Roman" w:hAnsi="Times New Roman"/>
                <w:b w:val="false"/>
                <w:i w:val="false"/>
                <w:color w:val="000000"/>
                <w:sz w:val="20"/>
              </w:rPr>
              <w:t>[cite provisions of law involved].</w:t>
            </w:r>
          </w:p>
          <w:p>
            <w:pPr>
              <w:spacing w:before="0" w:after="0"/>
              <w:ind w:left="160"/>
              <w:jc w:val="left"/>
            </w:pPr>
            <w:r>
              <w:rPr>
                <w:rFonts w:ascii="Times New Roman" w:hAnsi="Times New Roman"/>
                <w:b w:val="false"/>
                <w:i w:val="false"/>
                <w:color w:val="000000"/>
                <w:sz w:val="20"/>
              </w:rPr>
              <w:t> </w:t>
            </w:r>
          </w:p>
        </w:tc>
        <w:tc>
          <w:tcPr>
            <w:tcW w:w="5595"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PETITION FOR DECLARATORY ORDER</w:t>
            </w:r>
          </w:p>
        </w:tc>
      </w:tr>
    </w:tbl>
    <w:p>
      <w:pPr>
        <w:spacing w:before="0" w:after="0"/>
        <w:ind w:left="120"/>
        <w:jc w:val="both"/>
      </w:pPr>
      <w:r>
        <w:rPr>
          <w:rFonts w:ascii="Times New Roman" w:hAnsi="Times New Roman"/>
          <w:b w:val="false"/>
          <w:i w:val="false"/>
          <w:color w:val="000000"/>
          <w:sz w:val="22"/>
        </w:rPr>
        <w:t>Petitioners are obligated to provide the following information in the petition: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clear and concise statement of all facts the petitioner believes relevant to the order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to and the language of the specific statutes, rules, policies, decisions, or orders the petitioner is affected by or has concerns about and any other relevant 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concise statement of the questions petitioner wants answered.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petitioner’s proposed answers to the questions, as well as any support for the proposed answers.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reasons the petitioner is requesting the declaratory order and an explanation of why the petitioner is interested in the outcome.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explaining whether the petitioner is currently a party to another proceeding involving the questions at issue and whether, to the petitioner’s knowledge, those questions have been decided by, are pending determination by, or are under investigation by any agency or court of law.</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names and addresses of other persons, or a description of any group of persons, known by petitioner to be affected by or interested in the questions presented in the petition.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Any request by petitioner for a meeting with the agency to discuss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2503.1(2)</w:t>
      </w:r>
      <w:r>
        <w:rPr>
          <w:rFonts w:ascii="Times New Roman" w:hAnsi="Times New Roman"/>
          <w:b w:val="false"/>
          <w:i w:val="false"/>
          <w:color w:val="000000"/>
          <w:sz w:val="22"/>
        </w:rPr>
        <w:t> </w:t>
      </w:r>
      <w:r>
        <w:rPr>
          <w:rFonts w:ascii="Times New Roman" w:hAnsi="Times New Roman"/>
          <w:b w:val="false"/>
          <w:i w:val="false"/>
          <w:color w:val="000000"/>
          <w:sz w:val="22"/>
        </w:rPr>
        <w:t>The petitioner is obligated to ensure the petition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signature of petitioner or petitioner’s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mailing address, email, and telephone number of the petitioner and petitioner’s representative;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Contact information for the person (petitioner or petitioner’s representative) to whom the agency should direct communications concerning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7—2503.2</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 xml:space="preserve">The petitioner is obligated to serve the petition on interested parties in accordance with rule </w:t>
      </w:r>
      <w:hyperlink r:id="rId6">
        <w:r>
          <w:rPr>
            <w:rStyle w:val="Hyperlink"/>
            <w:rFonts w:ascii="Times New Roman" w:hAnsi="Times New Roman"/>
            <w:b w:val="false"/>
            <w:i w:val="false"/>
            <w:color w:val="000000"/>
            <w:sz w:val="22"/>
          </w:rPr>
          <w:t>7—2503.5</w:t>
        </w:r>
      </w:hyperlink>
      <w:r>
        <w:rPr>
          <w:rFonts w:ascii="Times New Roman" w:hAnsi="Times New Roman"/>
          <w:b w:val="false"/>
          <w:i w:val="false"/>
          <w:color w:val="000000"/>
          <w:sz w:val="22"/>
        </w:rPr>
        <w:t>(17A). Within 15 days after receipt of a petition for a declaratory order, the agency will give notice of the petition to all persons not served by the petitioner to the extent required by applicable law. The agency may also give notice to any other persons.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7—2503.3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2503.3(1)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qualifies under the law as an intervenor may intervene in a proceeding for a declaratory order by filing a petition for intervention within 30 days of the notice provided in accordance with rule </w:t>
      </w:r>
      <w:hyperlink r:id="rId7">
        <w:r>
          <w:rPr>
            <w:rStyle w:val="Hyperlink"/>
            <w:rFonts w:ascii="Times New Roman" w:hAnsi="Times New Roman"/>
            <w:b w:val="false"/>
            <w:i w:val="false"/>
            <w:color w:val="000000"/>
            <w:sz w:val="22"/>
          </w:rPr>
          <w:t>7—2503.2</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2503.3(2)</w:t>
      </w:r>
      <w:r>
        <w:rPr>
          <w:rFonts w:ascii="Times New Roman" w:hAnsi="Times New Roman"/>
          <w:b w:val="false"/>
          <w:i w:val="false"/>
          <w:color w:val="000000"/>
          <w:sz w:val="22"/>
        </w:rPr>
        <w:t> </w:t>
      </w:r>
      <w:r>
        <w:rPr>
          <w:rFonts w:ascii="Times New Roman" w:hAnsi="Times New Roman"/>
          <w:b w:val="false"/>
          <w:i w:val="false"/>
          <w:color w:val="000000"/>
          <w:sz w:val="22"/>
        </w:rPr>
        <w:t>If a person files a petition for intervention before a proceeding for a declaratory order concludes, the agency has discretion to allow the person to intervene.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2503.3(3)</w:t>
      </w:r>
      <w:r>
        <w:rPr>
          <w:rFonts w:ascii="Times New Roman" w:hAnsi="Times New Roman"/>
          <w:b w:val="false"/>
          <w:i w:val="false"/>
          <w:color w:val="000000"/>
          <w:sz w:val="22"/>
        </w:rPr>
        <w:t> </w:t>
      </w:r>
      <w:r>
        <w:rPr>
          <w:rFonts w:ascii="Times New Roman" w:hAnsi="Times New Roman"/>
          <w:b w:val="false"/>
          <w:i w:val="false"/>
          <w:color w:val="000000"/>
          <w:sz w:val="22"/>
        </w:rPr>
        <w:t>An intervenor seeking to intervene in a petition for declaratory order is obligated to file the petition for intervention at the agency’s address or agency’s email. The petition for intervention is considered filed when received at either address. The agency will provide the intervenor with a file-stamped copy of the petition upon request. The agency can only accept petitions for intervention that are typewritten or legibly handwritten in ink. Intervenors are also obligated to submit the petition so that it substantially conforms with the following:</w:t>
      </w:r>
    </w:p>
    <w:tbl>
      <w:tblPr>
        <w:tblW w:w="0" w:type="auto"/>
        <w:tblCellSpacing w:w="0" w:type="auto"/>
        <w:tblBorders>
          <w:top w:val="none"/>
          <w:left w:val="none"/>
          <w:bottom w:val="single" w:color="000000" w:sz="8"/>
          <w:right w:val="none"/>
          <w:insideH w:val="none"/>
          <w:insideV w:val="none"/>
        </w:tblBorders>
        <w:tblLayout w:type="fixed"/>
      </w:tblPr>
      <w:tblGrid>
        <w:gridCol w:w="5595"/>
        <w:gridCol w:w="5595"/>
      </w:tblGrid>
      <w:tr>
        <w:trPr>
          <w:trHeight w:val="270"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[AGENCY NAME]</w:t>
            </w:r>
          </w:p>
        </w:tc>
      </w:tr>
      <w:tr>
        <w:trPr>
          <w:trHeight w:val="960" w:hRule="atLeast"/>
        </w:trPr>
        <w:tc>
          <w:tcPr>
            <w:tcW w:w="5595" w:type="dxa"/>
            <w:tcBorders>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20"/>
              </w:rPr>
              <w:t> </w:t>
            </w:r>
          </w:p>
          <w:p>
            <w:pPr>
              <w:spacing w:before="0" w:after="0"/>
              <w:ind w:left="160"/>
              <w:jc w:val="left"/>
            </w:pPr>
            <w:r>
              <w:rPr>
                <w:rFonts w:ascii="Times New Roman" w:hAnsi="Times New Roman"/>
                <w:b w:val="false"/>
                <w:i w:val="false"/>
                <w:color w:val="000000"/>
                <w:sz w:val="20"/>
              </w:rPr>
              <w:t>Petition by [name of original petitioner]</w:t>
            </w:r>
            <w:r>
              <w:br/>
            </w:r>
            <w:r>
              <w:rPr>
                <w:rFonts w:ascii="Times New Roman" w:hAnsi="Times New Roman"/>
                <w:b w:val="false"/>
                <w:i w:val="false"/>
                <w:color w:val="000000"/>
                <w:sz w:val="20"/>
              </w:rPr>
              <w:t xml:space="preserve">for a declaratory order on </w:t>
            </w:r>
            <w:r>
              <w:br/>
            </w:r>
            <w:r>
              <w:rPr>
                <w:rFonts w:ascii="Times New Roman" w:hAnsi="Times New Roman"/>
                <w:b w:val="false"/>
                <w:i w:val="false"/>
                <w:color w:val="000000"/>
                <w:sz w:val="20"/>
              </w:rPr>
              <w:t>[cite provisions of law involved].</w:t>
            </w:r>
          </w:p>
          <w:p>
            <w:pPr>
              <w:spacing w:before="0" w:after="0"/>
              <w:ind w:left="160"/>
              <w:jc w:val="left"/>
            </w:pPr>
            <w:r>
              <w:rPr>
                <w:rFonts w:ascii="Times New Roman" w:hAnsi="Times New Roman"/>
                <w:b w:val="false"/>
                <w:i w:val="false"/>
                <w:color w:val="000000"/>
                <w:sz w:val="20"/>
              </w:rPr>
              <w:t> </w:t>
            </w:r>
          </w:p>
        </w:tc>
        <w:tc>
          <w:tcPr>
            <w:tcW w:w="5595"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PETITION FOR INTERVENTION</w:t>
            </w:r>
          </w:p>
        </w:tc>
      </w:tr>
    </w:tbl>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Facts supporting the intervenor’s standing and qualifications for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Whether the intervenor is currently a party to any proceeding involving the questions at issue and whether, to the intervenor’s knowledge, those questions have been decided by, are pending determination by, or are under investigation by any agency or court of law.</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questions presented.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2503.3(4)</w:t>
      </w:r>
      <w:r>
        <w:rPr>
          <w:rFonts w:ascii="Times New Roman" w:hAnsi="Times New Roman"/>
          <w:b w:val="false"/>
          <w:i w:val="false"/>
          <w:color w:val="000000"/>
          <w:sz w:val="22"/>
        </w:rPr>
        <w:t> </w:t>
      </w:r>
      <w:r>
        <w:rPr>
          <w:rFonts w:ascii="Times New Roman" w:hAnsi="Times New Roman"/>
          <w:b w:val="false"/>
          <w:i w:val="false"/>
          <w:color w:val="000000"/>
          <w:sz w:val="22"/>
        </w:rPr>
        <w:t>The intervenor is obligated to ensure the petition for intervention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signature of intervenor or intervenor’s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mailing address, email, and telephone number of the intervenor and intervenor’s representative;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Contact information for the person (intervenor or intervenor’s representative) to whom the agency should direct communications concerning the petition for intervention.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7—2503.4</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A petitioner or intervenor may file a brief in support of the position urged. The agency may request a brief from a petitioner, an intervenor, or any other person concerning the questions raised.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7—2503.5</w:t>
      </w:r>
      <w:r>
        <w:rPr>
          <w:rFonts w:ascii="Times New Roman" w:hAnsi="Times New Roman"/>
          <w:b/>
          <w:i w:val="false"/>
          <w:color w:val="000000"/>
          <w:sz w:val="22"/>
        </w:rPr>
        <w:t xml:space="preserve">(17A) </w:t>
      </w:r>
      <w:r>
        <w:rPr>
          <w:rFonts w:ascii="Times New Roman" w:hAnsi="Times New Roman"/>
          <w:b/>
          <w:i w:val="false"/>
          <w:color w:val="000000"/>
          <w:sz w:val="22"/>
        </w:rPr>
        <w:t xml:space="preserve">Filing and service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2503.5(1)</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All petitions for declaratory orders, petitions for intervention, briefs, or other papers in a proceeding for a declaratory order will be filed with the agency at the agency’s address or agency’s email.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2503.5(2)</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Except where otherwise provided by law, a person filing a petition for declaratory order, petition for intervention, brief, or other paper in a proceeding for a declaratory order is obligated to concurrently serve the document on each party to the proceeding and on all other persons identified in the petition for declaratory order or petition for intervention as affected by or interested in the questions presented. If the petitioner lacks sufficient information to effectuate service, the petitioner will notify the agency, and the agency will thereafter attempt to effectuate service on the interested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2503.5(3)</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time of filing, and proof of mailing or electronic delivery. </w:t>
      </w:r>
      <w:r>
        <w:rPr>
          <w:rFonts w:ascii="Times New Roman" w:hAnsi="Times New Roman"/>
          <w:b w:val="false"/>
          <w:i w:val="false"/>
          <w:color w:val="000000"/>
          <w:sz w:val="22"/>
        </w:rPr>
        <w:t xml:space="preserve">Rule </w:t>
      </w:r>
      <w:hyperlink r:id="rId8">
        <w:r>
          <w:rPr>
            <w:rStyle w:val="Hyperlink"/>
            <w:rFonts w:ascii="Times New Roman" w:hAnsi="Times New Roman"/>
            <w:b w:val="false"/>
            <w:i w:val="false"/>
            <w:color w:val="000000"/>
            <w:sz w:val="22"/>
          </w:rPr>
          <w:t>7—2506.12</w:t>
        </w:r>
      </w:hyperlink>
      <w:r>
        <w:rPr>
          <w:rFonts w:ascii="Times New Roman" w:hAnsi="Times New Roman"/>
          <w:b w:val="false"/>
          <w:i w:val="false"/>
          <w:color w:val="000000"/>
          <w:sz w:val="22"/>
        </w:rPr>
        <w:t>(17A) governs the method of service, time of filing, and proof of mailing or electronic delivery.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7—2503.6</w:t>
      </w:r>
      <w:r>
        <w:rPr>
          <w:rFonts w:ascii="Times New Roman" w:hAnsi="Times New Roman"/>
          <w:b/>
          <w:i w:val="false"/>
          <w:color w:val="000000"/>
          <w:sz w:val="22"/>
        </w:rPr>
        <w:t xml:space="preserve">(17A) </w:t>
      </w:r>
      <w:r>
        <w:rPr>
          <w:rFonts w:ascii="Times New Roman" w:hAnsi="Times New Roman"/>
          <w:b/>
          <w:i w:val="false"/>
          <w:color w:val="000000"/>
          <w:sz w:val="22"/>
        </w:rPr>
        <w:t xml:space="preserve">Consideration by the agency.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2503.6(1)</w:t>
      </w:r>
      <w:r>
        <w:rPr>
          <w:rFonts w:ascii="Times New Roman" w:hAnsi="Times New Roman"/>
          <w:b w:val="false"/>
          <w:i w:val="false"/>
          <w:color w:val="000000"/>
          <w:sz w:val="22"/>
        </w:rPr>
        <w:t> </w:t>
      </w:r>
      <w:r>
        <w:rPr>
          <w:rFonts w:ascii="Times New Roman" w:hAnsi="Times New Roman"/>
          <w:b w:val="false"/>
          <w:i/>
          <w:color w:val="000000"/>
          <w:sz w:val="22"/>
        </w:rPr>
        <w:t xml:space="preserve">Meeting with the agency. </w:t>
      </w:r>
      <w:r>
        <w:rPr>
          <w:rFonts w:ascii="Times New Roman" w:hAnsi="Times New Roman"/>
          <w:b w:val="false"/>
          <w:i w:val="false"/>
          <w:color w:val="000000"/>
          <w:sz w:val="22"/>
        </w:rPr>
        <w:t xml:space="preserve">A meeting that is requested under subrule </w:t>
      </w:r>
      <w:hyperlink r:id="rId9">
        <w:r>
          <w:rPr>
            <w:rStyle w:val="Hyperlink"/>
            <w:rFonts w:ascii="Times New Roman" w:hAnsi="Times New Roman"/>
            <w:b w:val="false"/>
            <w:i w:val="false"/>
            <w:color w:val="000000"/>
            <w:sz w:val="22"/>
          </w:rPr>
          <w:t>2503.1(1)</w:t>
        </w:r>
      </w:hyperlink>
      <w:r>
        <w:rPr>
          <w:rFonts w:ascii="Times New Roman" w:hAnsi="Times New Roman"/>
          <w:b w:val="false"/>
          <w:i w:val="false"/>
          <w:color w:val="000000"/>
          <w:sz w:val="22"/>
        </w:rPr>
        <w:t xml:space="preserve"> may involve one or more members of the agency and one or more members of staff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2503.6(2)</w:t>
      </w:r>
      <w:r>
        <w:rPr>
          <w:rFonts w:ascii="Times New Roman" w:hAnsi="Times New Roman"/>
          <w:b w:val="false"/>
          <w:i w:val="false"/>
          <w:color w:val="000000"/>
          <w:sz w:val="22"/>
        </w:rPr>
        <w:t> </w:t>
      </w:r>
      <w:r>
        <w:rPr>
          <w:rFonts w:ascii="Times New Roman" w:hAnsi="Times New Roman"/>
          <w:b w:val="false"/>
          <w:i/>
          <w:color w:val="000000"/>
          <w:sz w:val="22"/>
        </w:rPr>
        <w:t xml:space="preserve">Public comments. </w:t>
      </w:r>
      <w:r>
        <w:rPr>
          <w:rFonts w:ascii="Times New Roman" w:hAnsi="Times New Roman"/>
          <w:b w:val="false"/>
          <w:i w:val="false"/>
          <w:color w:val="000000"/>
          <w:sz w:val="22"/>
        </w:rPr>
        <w:t>The agency may solicit comments from any person on the questions raised in the petition. Any person may submit comments to the agency on the questions raised in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7—2503.7</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r>
        <w:rPr>
          <w:rFonts w:ascii="Times New Roman" w:hAnsi="Times New Roman"/>
          <w:b w:val="false"/>
          <w:i w:val="false"/>
          <w:color w:val="000000"/>
          <w:sz w:val="22"/>
        </w:rPr>
        <w:t xml:space="preserve">The chief executive of the agency or that person’s designee will review the petition for declaratory order and take action on the petition in accordance with the statutory provisions and the timelines set forth in Iowa Code section </w:t>
      </w:r>
      <w:hyperlink r:id="rId10">
        <w:r>
          <w:rPr>
            <w:rStyle w:val="Hyperlink"/>
            <w:rFonts w:ascii="Times New Roman" w:hAnsi="Times New Roman"/>
            <w:b w:val="false"/>
            <w:i w:val="false"/>
            <w:color w:val="000000"/>
            <w:sz w:val="22"/>
          </w:rPr>
          <w:t>17A.9(5)</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17A.9(8)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7—2503.8</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2503.8(1)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agency will not issue a declaratory order if Iowa Code section </w:t>
      </w:r>
      <w:hyperlink r:id="rId12">
        <w:r>
          <w:rPr>
            <w:rStyle w:val="Hyperlink"/>
            <w:rFonts w:ascii="Times New Roman" w:hAnsi="Times New Roman"/>
            <w:b w:val="false"/>
            <w:i w:val="false"/>
            <w:color w:val="000000"/>
            <w:sz w:val="22"/>
          </w:rPr>
          <w:t>17A.9(1)</w:t>
        </w:r>
      </w:hyperlink>
      <w:r>
        <w:rPr>
          <w:rFonts w:ascii="Times New Roman" w:hAnsi="Times New Roman"/>
          <w:b w:val="false"/>
          <w:i w:val="false"/>
          <w:color w:val="000000"/>
          <w:sz w:val="22"/>
        </w:rPr>
        <w:t xml:space="preserve"> does not allow it to. The agency may refuse to issue a declaratory order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petition does not substantially comply with the requirements of rule </w:t>
      </w:r>
      <w:hyperlink r:id="rId13">
        <w:r>
          <w:rPr>
            <w:rStyle w:val="Hyperlink"/>
            <w:rFonts w:ascii="Times New Roman" w:hAnsi="Times New Roman"/>
            <w:b w:val="false"/>
            <w:i w:val="false"/>
            <w:color w:val="000000"/>
            <w:sz w:val="22"/>
          </w:rPr>
          <w:t>7—2503.1</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petition does not contain facts sufficient to demonstrate that the petitioner will be aggrieved or adversely affected if the agency does not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agency does not have jurisdiction over the questions presented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are also presented in a current rulemaking, contested case, or other agency or judicial proceeding that may definitively resolve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There is no need to issue an order because a change in circumstances has eliminated the need to answer the questions raised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Instead of being based upon facts calculated to aid in the planning of future conduct, the petition is based upon previous conduct or seeks to challenge an agency decision already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requested order would necessarily determine the legal rights, duties, or responsibilities of other persons who have not joined in the petition, intervened separately, or filed a similar petition and whose position on the questions presented may fairly be presumed to be adverse to that of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petitioner requests the agency to determine whether a statute is unconstitutional on its 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petition seeks interpretation of a rule or statute that the agency does not have the authority to interpret.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2503.8(2)</w:t>
      </w:r>
      <w:r>
        <w:rPr>
          <w:rFonts w:ascii="Times New Roman" w:hAnsi="Times New Roman"/>
          <w:b w:val="false"/>
          <w:i w:val="false"/>
          <w:color w:val="000000"/>
          <w:sz w:val="22"/>
        </w:rPr>
        <w:t> </w:t>
      </w:r>
      <w:r>
        <w:rPr>
          <w:rFonts w:ascii="Times New Roman" w:hAnsi="Times New Roman"/>
          <w:b w:val="false"/>
          <w:i w:val="false"/>
          <w:color w:val="000000"/>
          <w:sz w:val="22"/>
        </w:rPr>
        <w:t>A refusal to issue a declaratory order will indicate the specific grounds for the refusal and constitutes final agency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2503.8(3)</w:t>
      </w:r>
      <w:r>
        <w:rPr>
          <w:rFonts w:ascii="Times New Roman" w:hAnsi="Times New Roman"/>
          <w:b w:val="false"/>
          <w:i w:val="false"/>
          <w:color w:val="000000"/>
          <w:sz w:val="22"/>
        </w:rPr>
        <w:t> </w:t>
      </w:r>
      <w:r>
        <w:rPr>
          <w:rFonts w:ascii="Times New Roman" w:hAnsi="Times New Roman"/>
          <w:b w:val="false"/>
          <w:i w:val="false"/>
          <w:color w:val="000000"/>
          <w:sz w:val="22"/>
        </w:rPr>
        <w:t>Refusal to issue a declaratory order under this rule does not prevent the filing of a new petition that seeks to eliminate the grounds for the refusal to issue an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7—2503.9</w:t>
      </w:r>
      <w:r>
        <w:rPr>
          <w:rFonts w:ascii="Times New Roman" w:hAnsi="Times New Roman"/>
          <w:b/>
          <w:i w:val="false"/>
          <w:color w:val="000000"/>
          <w:sz w:val="22"/>
        </w:rPr>
        <w:t xml:space="preserve">(17A) </w:t>
      </w:r>
      <w:r>
        <w:rPr>
          <w:rFonts w:ascii="Times New Roman" w:hAnsi="Times New Roman"/>
          <w:b/>
          <w:i w:val="false"/>
          <w:color w:val="000000"/>
          <w:sz w:val="22"/>
        </w:rPr>
        <w:t xml:space="preserve">Copies of orders. </w:t>
      </w:r>
      <w:r>
        <w:rPr>
          <w:rFonts w:ascii="Times New Roman" w:hAnsi="Times New Roman"/>
          <w:b w:val="false"/>
          <w:i w:val="false"/>
          <w:color w:val="000000"/>
          <w:sz w:val="22"/>
        </w:rPr>
        <w:t>The agency will promptly mail to or email the original petitioner and all intervenors a copy of each order issued in response to a petition for a declaratory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7—2503.10</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2503.10(1)</w:t>
      </w:r>
      <w:r>
        <w:rPr>
          <w:rFonts w:ascii="Times New Roman" w:hAnsi="Times New Roman"/>
          <w:b w:val="false"/>
          <w:i w:val="false"/>
          <w:color w:val="000000"/>
          <w:sz w:val="22"/>
        </w:rPr>
        <w:t> </w:t>
      </w:r>
      <w:r>
        <w:rPr>
          <w:rFonts w:ascii="Times New Roman" w:hAnsi="Times New Roman"/>
          <w:b w:val="false"/>
          <w:i/>
          <w:color w:val="000000"/>
          <w:sz w:val="22"/>
        </w:rPr>
        <w:t xml:space="preserve">Withdrawal. </w:t>
      </w:r>
      <w:r>
        <w:rPr>
          <w:rFonts w:ascii="Times New Roman" w:hAnsi="Times New Roman"/>
          <w:b w:val="false"/>
          <w:i w:val="false"/>
          <w:color w:val="000000"/>
          <w:sz w:val="22"/>
        </w:rPr>
        <w:t>The petitioner may voluntarily withdraw a petition by notifying the agency in writing at any time before the order is issued. The petitioner shall not withdraw a petition after the order is issued. A declaratory order, once issued, shall not be rescinded by the agency and cannot be withdrawn by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2503.10(2)</w:t>
      </w:r>
      <w:r>
        <w:rPr>
          <w:rFonts w:ascii="Times New Roman" w:hAnsi="Times New Roman"/>
          <w:b w:val="false"/>
          <w:i w:val="false"/>
          <w:color w:val="000000"/>
          <w:sz w:val="22"/>
        </w:rPr>
        <w:t> </w:t>
      </w:r>
      <w:r>
        <w:rPr>
          <w:rFonts w:ascii="Times New Roman" w:hAnsi="Times New Roman"/>
          <w:b w:val="false"/>
          <w:i/>
          <w:color w:val="000000"/>
          <w:sz w:val="22"/>
        </w:rPr>
        <w:t xml:space="preserve">Binding effect. </w:t>
      </w:r>
      <w:r>
        <w:rPr>
          <w:rFonts w:ascii="Times New Roman" w:hAnsi="Times New Roman"/>
          <w:b w:val="false"/>
          <w:i w:val="false"/>
          <w:color w:val="000000"/>
          <w:sz w:val="22"/>
        </w:rPr>
        <w:t>A declaratory order has the same status and binding effect as a final order issued in a contested case proceeding. It is binding on the agency, the petitioner, and any intervenors (who consent to be bound) and is applicable only in circumstances where the relevant facts and the law involved are indistinguishable from those on which the order was based. As to all other persons, a declaratory order serves only as precedent and is not binding on the agency. The issuance of a declaratory order constitutes final agency action on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4">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0038D, IAB 2/4/26, effective 1/13/26]</w:t>
      </w:r>
    </w:p>
    <w:p>
      <w:pPr>
        <w:spacing w:before="0" w:after="0"/>
        <w:ind w:left="120"/>
        <w:jc w:val="center"/>
      </w:pPr>
      <w:r>
        <w:rPr>
          <w:rFonts w:ascii="Times New Roman" w:hAnsi="Times New Roman"/>
          <w:b w:val="false"/>
          <w:i w:val="false"/>
          <w:color w:val="000000"/>
          <w:sz w:val="21"/>
        </w:rPr>
        <w:t>[Filed ARC 0190D</w:t>
      </w:r>
      <w:r>
        <w:rPr>
          <w:rFonts w:ascii="Times New Roman" w:hAnsi="Times New Roman"/>
          <w:b w:val="false"/>
          <w:i w:val="false"/>
          <w:color w:val="000000"/>
          <w:sz w:val="21"/>
        </w:rPr>
        <w:t xml:space="preserve"> (Notice ARC 0037D, IAB 2/4/26)</w:t>
      </w:r>
      <w:r>
        <w:rPr>
          <w:rFonts w:ascii="Times New Roman" w:hAnsi="Times New Roman"/>
          <w:b w:val="false"/>
          <w:i w:val="false"/>
          <w:color w:val="000000"/>
          <w:sz w:val="21"/>
        </w:rPr>
        <w:t>, IAB 4/1/26, effective 5/6/26]</w:t>
      </w:r>
    </w:p>
    <w:p>
      <w:pPr>
        <w:spacing w:before="0" w:after="0"/>
        <w:ind w:left="120"/>
        <w:jc w:val="center"/>
      </w:pPr>
      <w:r>
        <w:rPr>
          <w:rFonts w:ascii="Times New Roman" w:hAnsi="Times New Roman"/>
          <w:b w:val="false"/>
          <w:i w:val="false"/>
          <w:color w:val="000000"/>
          <w:sz w:val="21"/>
        </w:rPr>
        <w:t>[Editorial change: IAC Supplement 5/13/26]</w:t>
      </w:r>
    </w:p>
    <w:sectPr>
      <w:footerReference r:id="rId1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9.pdf" Type="http://schemas.openxmlformats.org/officeDocument/2006/relationships/hyperlink" Id="rId5"/>
    <Relationship TargetMode="External" Target="https://www.legis.iowa.gov/docs/iac/rule/7.2503.5.pdf" Type="http://schemas.openxmlformats.org/officeDocument/2006/relationships/hyperlink" Id="rId6"/>
    <Relationship TargetMode="External" Target="https://www.legis.iowa.gov/docs/iac/rule/7.2503.2.pdf" Type="http://schemas.openxmlformats.org/officeDocument/2006/relationships/hyperlink" Id="rId7"/>
    <Relationship TargetMode="External" Target="https://www.legis.iowa.gov/docs/iac/rule/7.2506.12.pdf" Type="http://schemas.openxmlformats.org/officeDocument/2006/relationships/hyperlink" Id="rId8"/>
    <Relationship TargetMode="External" Target="https://www.legis.iowa.gov/docs/iac/rule/7.2503.1.pdf" Type="http://schemas.openxmlformats.org/officeDocument/2006/relationships/hyperlink" Id="rId9"/>
    <Relationship TargetMode="External" Target="https://www.legis.iowa.gov/docs/ico/chapter/17A.9.pdf" Type="http://schemas.openxmlformats.org/officeDocument/2006/relationships/hyperlink" Id="rId10"/>
    <Relationship TargetMode="External" Target="https://www.legis.iowa.gov/docs/ico/chapter/17A.9.pdf" Type="http://schemas.openxmlformats.org/officeDocument/2006/relationships/hyperlink" Id="rId11"/>
    <Relationship TargetMode="External" Target="https://www.legis.iowa.gov/docs/ico/chapter/17A.9.pdf" Type="http://schemas.openxmlformats.org/officeDocument/2006/relationships/hyperlink" Id="rId12"/>
    <Relationship TargetMode="External" Target="https://www.legis.iowa.gov/docs/iac/rule/7.2503.1.pdf" Type="http://schemas.openxmlformats.org/officeDocument/2006/relationships/hyperlink" Id="rId13"/>
    <Relationship TargetMode="External" Target="https://www.legis.iowa.gov/docs/ico/chapter/17A.9.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