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2502</w:t>
      </w:r>
    </w:p>
    <w:p>
      <w:pPr>
        <w:spacing w:before="0" w:after="0"/>
        <w:ind w:left="120"/>
        <w:jc w:val="center"/>
      </w:pPr>
      <w:r>
        <w:rPr>
          <w:rFonts w:ascii="Times New Roman" w:hAnsi="Times New Roman"/>
          <w:b w:val="false"/>
          <w:i w:val="false"/>
          <w:color w:val="000000"/>
          <w:sz w:val="21"/>
        </w:rPr>
        <w:t>PETITIONS FOR RULEMAKING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7—2502.1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Requesting rules be made. </w:t>
      </w:r>
      <w:r>
        <w:rPr>
          <w:rFonts w:ascii="Times New Roman" w:hAnsi="Times New Roman"/>
          <w:b w:val="false"/>
          <w:i w:val="false"/>
          <w:color w:val="000000"/>
          <w:sz w:val="22"/>
        </w:rPr>
        <w:t>Any person may file a petition for rulemaking with the agency by submitting an original petition for rulemaking to the agency at the agency’s address or to the agency’s email. The petition is considered filed when received at either address. The agency will provide the petitioner with a file-stamped copy of the petition upon request. The agency can only accept petitions that are typewritten or legibly handwritten in ink. Petitioners are also obligated to submit the petition so that it substantially conforms to the following:</w:t>
      </w:r>
    </w:p>
    <w:tbl>
      <w:tblPr>
        <w:tblW w:w="0" w:type="auto"/>
        <w:tblCellSpacing w:w="0" w:type="auto"/>
        <w:tblBorders>
          <w:top w:val="none"/>
          <w:left w:val="none"/>
          <w:bottom w:val="single" w:color="000000" w:sz="8"/>
          <w:right w:val="none"/>
          <w:insideH w:val="none"/>
          <w:insideV w:val="none"/>
        </w:tblBorders>
        <w:tblLayout w:type="fixed"/>
      </w:tblPr>
      <w:tblGrid>
        <w:gridCol w:w="5595"/>
        <w:gridCol w:w="5595"/>
      </w:tblGrid>
      <w:tr>
        <w:trPr>
          <w:trHeight w:val="270"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[AGENCY NAME]</w:t>
            </w:r>
          </w:p>
        </w:tc>
      </w:tr>
      <w:tr>
        <w:trPr>
          <w:trHeight w:val="960" w:hRule="atLeast"/>
        </w:trPr>
        <w:tc>
          <w:tcPr>
            <w:tcW w:w="5595" w:type="dxa"/>
            <w:tcBorders>
              <w:right w:val="single" w:color="000000" w:sz="8"/>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Petition by [name of petitioner]</w:t>
            </w:r>
            <w:r>
              <w:br/>
            </w:r>
            <w:r>
              <w:rPr>
                <w:rFonts w:ascii="Times New Roman" w:hAnsi="Times New Roman"/>
                <w:b w:val="false"/>
                <w:i w:val="false"/>
                <w:color w:val="000000"/>
                <w:sz w:val="20"/>
              </w:rPr>
              <w:t>for the [adoption, amendment, or rescission]</w:t>
            </w:r>
            <w:r>
              <w:br/>
            </w:r>
            <w:r>
              <w:rPr>
                <w:rFonts w:ascii="Times New Roman" w:hAnsi="Times New Roman"/>
                <w:b w:val="false"/>
                <w:i w:val="false"/>
                <w:color w:val="000000"/>
                <w:sz w:val="20"/>
              </w:rPr>
              <w:t>of rules relating to [state subject matter].</w:t>
            </w:r>
          </w:p>
          <w:p>
            <w:pPr>
              <w:spacing w:before="0" w:after="0"/>
              <w:ind w:left="160"/>
              <w:jc w:val="left"/>
            </w:pPr>
            <w:r>
              <w:rPr>
                <w:rFonts w:ascii="Times New Roman" w:hAnsi="Times New Roman"/>
                <w:b w:val="false"/>
                <w:i w:val="false"/>
                <w:color w:val="000000"/>
                <w:sz w:val="20"/>
              </w:rPr>
              <w:t> </w:t>
            </w:r>
          </w:p>
        </w:tc>
        <w:tc>
          <w:tcPr>
            <w:tcW w:w="559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PETITION FOR RULEMAKING</w:t>
            </w:r>
          </w:p>
        </w:tc>
      </w:tr>
    </w:tbl>
    <w:p>
      <w:pPr>
        <w:spacing w:before="0" w:after="0"/>
        <w:ind w:left="120"/>
        <w:jc w:val="both"/>
      </w:pPr>
      <w:r>
        <w:rPr>
          <w:rFonts w:ascii="Times New Roman" w:hAnsi="Times New Roman"/>
          <w:b w:val="false"/>
          <w:i w:val="false"/>
          <w:color w:val="000000"/>
          <w:sz w:val="22"/>
        </w:rPr>
        <w:t>Petitioners are obligated to provide the following information in the petition: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request from the petitioner that includes the text or a summary of the proposed rule or requested change to a rule. If the petition requests to change or rescind a rule, the petitioner is also directed to identify the rule by number and the language that the petitioner requests be changed or removed.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the petitioner believes supports the petitioner’s request for the agency’s ability to make or change the requested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summary of the petitioner’s arguments in support of the action urged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group of persons, known by petitioner to be affected by or interested in the proposed request for changing or removing the rule.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for a meeting provided for by rule </w:t>
      </w:r>
      <w:hyperlink r:id="rId5">
        <w:r>
          <w:rPr>
            <w:rStyle w:val="Hyperlink"/>
            <w:rFonts w:ascii="Times New Roman" w:hAnsi="Times New Roman"/>
            <w:b w:val="false"/>
            <w:i w:val="false"/>
            <w:color w:val="000000"/>
            <w:sz w:val="22"/>
          </w:rPr>
          <w:t>7—2502.3</w:t>
        </w:r>
      </w:hyperlink>
      <w:r>
        <w:rPr>
          <w:rFonts w:ascii="Times New Roman" w:hAnsi="Times New Roman"/>
          <w:b w:val="false"/>
          <w:i w:val="false"/>
          <w:color w:val="000000"/>
          <w:sz w:val="22"/>
        </w:rPr>
        <w:t>(17A) if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2502.1(1)</w:t>
      </w:r>
      <w:r>
        <w:rPr>
          <w:rFonts w:ascii="Times New Roman" w:hAnsi="Times New Roman"/>
          <w:b w:val="false"/>
          <w:i w:val="false"/>
          <w:color w:val="000000"/>
          <w:sz w:val="22"/>
        </w:rPr>
        <w:t> </w:t>
      </w:r>
      <w:r>
        <w:rPr>
          <w:rFonts w:ascii="Times New Roman" w:hAnsi="Times New Roman"/>
          <w:b w:val="false"/>
          <w:i w:val="false"/>
          <w:color w:val="000000"/>
          <w:sz w:val="22"/>
        </w:rPr>
        <w:t>The petitioner is obligated to ensure the petition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signature of petitioner or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and telephone number of the petitioner and petitioner’s representative;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Contact information for the person (petitioner or petitioner’s representative) to whom the agency should direct communications concerning the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2502.1(2)</w:t>
      </w:r>
      <w:r>
        <w:rPr>
          <w:rFonts w:ascii="Times New Roman" w:hAnsi="Times New Roman"/>
          <w:b w:val="false"/>
          <w:i w:val="false"/>
          <w:color w:val="000000"/>
          <w:sz w:val="22"/>
        </w:rPr>
        <w:t> </w:t>
      </w:r>
      <w:r>
        <w:rPr>
          <w:rFonts w:ascii="Times New Roman" w:hAnsi="Times New Roman"/>
          <w:b w:val="false"/>
          <w:i w:val="false"/>
          <w:color w:val="000000"/>
          <w:sz w:val="22"/>
        </w:rPr>
        <w:t>The agency may deny a petition if it does not substantially conform to requirements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7—2502.2</w:t>
      </w:r>
      <w:r>
        <w:rPr>
          <w:rFonts w:ascii="Times New Roman" w:hAnsi="Times New Roman"/>
          <w:b/>
          <w:i w:val="false"/>
          <w:color w:val="000000"/>
          <w:sz w:val="22"/>
        </w:rPr>
        <w:t xml:space="preserve">(17A)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petition. The agency may also request briefing concerning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7—2502.3</w:t>
      </w:r>
      <w:r>
        <w:rPr>
          <w:rFonts w:ascii="Times New Roman" w:hAnsi="Times New Roman"/>
          <w:b/>
          <w:i w:val="false"/>
          <w:color w:val="000000"/>
          <w:sz w:val="22"/>
        </w:rPr>
        <w:t xml:space="preserve">(17A) </w:t>
      </w:r>
      <w:r>
        <w:rPr>
          <w:rFonts w:ascii="Times New Roman" w:hAnsi="Times New Roman"/>
          <w:b/>
          <w:i w:val="false"/>
          <w:color w:val="000000"/>
          <w:sz w:val="22"/>
        </w:rPr>
        <w:t xml:space="preserve">Consideration by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2502.3(1)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agency will submit a copy of the petition and any accompanying brief to the administrative rules coordinator and to the administrative rules review committee. Upon request by the petitioner, the agency will schedule an informal meeting with the petitioner to discuss the petition. The agency may request that the petitioner submit additional information or argument in support of the petition. The agency may request and receive comments from any person regarding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2502.3(2)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a longer period if agreed to by the petitioner, the agency will provide its decision in writing regarding the petitioner’s request. The agency may deny the petition and notify petitioner of its decision and the specific reasons for the denial, or the agency may grant the petition and notify petitioner that it has started rulemaking proceedings based upon the petitioner’s request. The petitioner is considered properly notified of the denial or granting of the petition on the date when the agency mails or delivers by electronic means the notification to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2502.3(3)</w:t>
      </w:r>
      <w:r>
        <w:rPr>
          <w:rFonts w:ascii="Times New Roman" w:hAnsi="Times New Roman"/>
          <w:b w:val="false"/>
          <w:i w:val="false"/>
          <w:color w:val="000000"/>
          <w:sz w:val="22"/>
        </w:rPr>
        <w:t> </w:t>
      </w:r>
      <w:r>
        <w:rPr>
          <w:rFonts w:ascii="Times New Roman" w:hAnsi="Times New Roman"/>
          <w:b w:val="false"/>
          <w:i w:val="false"/>
          <w:color w:val="000000"/>
          <w:sz w:val="22"/>
        </w:rPr>
        <w:t>Denial of a petition because it does not substantially conform to the requirements does not prevent the petitioner from filing a new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17A.7(1)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2502.3.pdf" Type="http://schemas.openxmlformats.org/officeDocument/2006/relationships/hyperlink" Id="rId5"/>
    <Relationship TargetMode="External" Target="https://www.legis.iowa.gov/docs/ico/chapter/17A.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