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2501</w:t>
      </w:r>
    </w:p>
    <w:p>
      <w:pPr>
        <w:spacing w:before="0" w:after="0"/>
        <w:ind w:left="120"/>
        <w:jc w:val="center"/>
      </w:pPr>
      <w:r>
        <w:rPr>
          <w:rFonts w:ascii="Times New Roman" w:hAnsi="Times New Roman"/>
          <w:b w:val="false"/>
          <w:i w:val="false"/>
          <w:color w:val="000000"/>
          <w:sz w:val="21"/>
        </w:rPr>
        <w:t>AGENCY PROCEDURE FOR RULEMAKING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7—2501.1</w:t>
      </w:r>
      <w:r>
        <w:rPr>
          <w:rFonts w:ascii="Times New Roman" w:hAnsi="Times New Roman"/>
          <w:b/>
          <w:i w:val="false"/>
          <w:color w:val="000000"/>
          <w:sz w:val="22"/>
        </w:rPr>
        <w:t xml:space="preserve">(17A) </w:t>
      </w:r>
      <w:r>
        <w:rPr>
          <w:rFonts w:ascii="Times New Roman" w:hAnsi="Times New Roman"/>
          <w:b/>
          <w:i w:val="false"/>
          <w:color w:val="000000"/>
          <w:sz w:val="22"/>
        </w:rPr>
        <w:t xml:space="preserve">Rulemaking procedure. </w:t>
      </w:r>
      <w:r>
        <w:rPr>
          <w:rFonts w:ascii="Times New Roman" w:hAnsi="Times New Roman"/>
          <w:b w:val="false"/>
          <w:i w:val="false"/>
          <w:color w:val="000000"/>
          <w:sz w:val="22"/>
        </w:rPr>
        <w:t xml:space="preserve">The agency will comply in all material respects with the rulemaking obligations established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may be amended from time to time by the general assembly, as well as any other guidance issued by the governor or general assembly. All future amendments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impact the rulemaking process are incorporated herein by reference as of the effective date of any such change.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0038D, IAB 2/4/26, effective 1/13/26]</w:t>
      </w:r>
    </w:p>
    <w:p>
      <w:pPr>
        <w:spacing w:before="0" w:after="0"/>
        <w:ind w:left="120"/>
        <w:jc w:val="center"/>
      </w:pPr>
      <w:r>
        <w:rPr>
          <w:rFonts w:ascii="Times New Roman" w:hAnsi="Times New Roman"/>
          <w:b w:val="false"/>
          <w:i w:val="false"/>
          <w:color w:val="000000"/>
          <w:sz w:val="21"/>
        </w:rPr>
        <w:t>[Filed ARC 0190D</w:t>
      </w:r>
      <w:r>
        <w:rPr>
          <w:rFonts w:ascii="Times New Roman" w:hAnsi="Times New Roman"/>
          <w:b w:val="false"/>
          <w:i w:val="false"/>
          <w:color w:val="000000"/>
          <w:sz w:val="21"/>
        </w:rPr>
        <w:t xml:space="preserve"> (Notice ARC 0037D, IAB 2/4/26)</w:t>
      </w:r>
      <w:r>
        <w:rPr>
          <w:rFonts w:ascii="Times New Roman" w:hAnsi="Times New Roman"/>
          <w:b w:val="false"/>
          <w:i w:val="false"/>
          <w:color w:val="000000"/>
          <w:sz w:val="21"/>
        </w:rPr>
        <w:t>, IAB 4/1/26, effective 5/6/26]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