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PROCEDURES WITH OTHER STATE AND FEDERAL AGENCIES CONCERNING</w:t>
      </w:r>
      <w:r>
        <w:br/>
      </w:r>
      <w:r>
        <w:rPr>
          <w:rFonts w:ascii="Times New Roman" w:hAnsi="Times New Roman"/>
          <w:b w:val="false"/>
          <w:i w:val="false"/>
          <w:color w:val="000000"/>
          <w:sz w:val="21"/>
        </w:rPr>
        <w:t>THE RECOVERY AND SALVAGE OF HISTORICAL OBJECTS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685—5.1</w:t>
      </w:r>
      <w:r>
        <w:rPr>
          <w:rFonts w:ascii="Times New Roman" w:hAnsi="Times New Roman"/>
          <w:b/>
          <w:i w:val="false"/>
          <w:color w:val="000000"/>
          <w:sz w:val="22"/>
        </w:rPr>
        <w:t xml:space="preserve">(263B) </w:t>
      </w:r>
      <w:r>
        <w:rPr>
          <w:rFonts w:ascii="Times New Roman" w:hAnsi="Times New Roman"/>
          <w:b/>
          <w:i w:val="false"/>
          <w:color w:val="000000"/>
          <w:sz w:val="22"/>
        </w:rPr>
        <w:t xml:space="preserve">Assumed responsibility. </w:t>
      </w:r>
      <w:r>
        <w:rPr>
          <w:rFonts w:ascii="Times New Roman" w:hAnsi="Times New Roman"/>
          <w:b w:val="false"/>
          <w:i w:val="false"/>
          <w:color w:val="000000"/>
          <w:sz w:val="22"/>
        </w:rPr>
        <w:t xml:space="preserve">Pursuant to Iowa Code chapter </w:t>
      </w:r>
      <w:hyperlink r:id="rId5">
        <w:r>
          <w:rPr>
            <w:rStyle w:val="Hyperlink"/>
            <w:rFonts w:ascii="Times New Roman" w:hAnsi="Times New Roman"/>
            <w:b w:val="false"/>
            <w:i w:val="false"/>
            <w:color w:val="000000"/>
            <w:sz w:val="22"/>
          </w:rPr>
          <w:t>263B</w:t>
        </w:r>
      </w:hyperlink>
      <w:r>
        <w:rPr>
          <w:rFonts w:ascii="Times New Roman" w:hAnsi="Times New Roman"/>
          <w:b w:val="false"/>
          <w:i w:val="false"/>
          <w:color w:val="000000"/>
          <w:sz w:val="22"/>
        </w:rPr>
        <w:t>, OSA assumes that any state agency has the responsibility of notifying OSA should any proposed action of said agency endanger or have the potential of endangering historical objects under its direct or indirect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val="false"/>
          <w:color w:val="000000"/>
          <w:sz w:val="22"/>
        </w:rPr>
        <w:t>OSA is the appropriate authority for state and such federal agencies as are required by their agency rules to contact regarding actions such agencies may take that have the potential of affecting archaeological remains.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val="false"/>
          <w:color w:val="000000"/>
          <w:sz w:val="22"/>
        </w:rPr>
        <w:t>OSA, acting in its capacity as the state’s principal agent in the coordination of archaeological matters, shall be advised of such projects early in the planning process in order to facilitate the conduct of any exploratory or salvage work as may be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val="false"/>
          <w:color w:val="000000"/>
          <w:sz w:val="22"/>
        </w:rPr>
        <w:t>OSA is authorized to enter into agreements and cooperative efforts with federal or states agencies concerned with archaeological salvage or the preservation of antiquities.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263B.3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10/27/77, Notice 8/24/77—published 11/16/77, effective 12/21/77]</w:t>
      </w:r>
    </w:p>
    <w:p>
      <w:pPr>
        <w:spacing w:before="0" w:after="0"/>
        <w:ind w:left="120"/>
        <w:jc w:val="center"/>
      </w:pPr>
      <w:r>
        <w:rPr>
          <w:rFonts w:ascii="Times New Roman" w:hAnsi="Times New Roman"/>
          <w:b w:val="false"/>
          <w:i w:val="false"/>
          <w:color w:val="000000"/>
          <w:sz w:val="21"/>
        </w:rPr>
        <w:t>[Delayed 12/13/77—published 12/28/77; delay lifted 2/14/78—published 3/8/78]</w:t>
      </w:r>
    </w:p>
    <w:p>
      <w:pPr>
        <w:spacing w:before="0" w:after="0"/>
        <w:ind w:left="120"/>
        <w:jc w:val="center"/>
      </w:pPr>
      <w:r>
        <w:rPr>
          <w:rFonts w:ascii="Times New Roman" w:hAnsi="Times New Roman"/>
          <w:b w:val="false"/>
          <w:i w:val="false"/>
          <w:color w:val="000000"/>
          <w:sz w:val="21"/>
        </w:rPr>
        <w:t>[Filed 8/16/78, Notice 3/22/78—published 9/6/78, effective 10/11/78]</w:t>
      </w:r>
    </w:p>
    <w:p>
      <w:pPr>
        <w:spacing w:before="0" w:after="0"/>
        <w:ind w:left="120"/>
        <w:jc w:val="center"/>
      </w:pPr>
      <w:r>
        <w:rPr>
          <w:rFonts w:ascii="Times New Roman" w:hAnsi="Times New Roman"/>
          <w:b w:val="false"/>
          <w:i w:val="false"/>
          <w:color w:val="000000"/>
          <w:sz w:val="21"/>
        </w:rPr>
        <w:t>[Filed emergency 2/19/88—published 3/9/88, effective 2/19/88]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3B.pdf" Type="http://schemas.openxmlformats.org/officeDocument/2006/relationships/hyperlink" Id="rId5"/>
    <Relationship TargetMode="External" Target="https://www.legis.iowa.gov/docs/ico/chapter/263B.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