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14</w:t>
      </w:r>
    </w:p>
    <w:p>
      <w:pPr>
        <w:spacing w:before="0" w:after="0"/>
        <w:ind w:left="120"/>
        <w:jc w:val="center"/>
      </w:pPr>
      <w:r>
        <w:rPr>
          <w:rFonts w:ascii="Times New Roman" w:hAnsi="Times New Roman"/>
          <w:b w:val="false"/>
          <w:i w:val="false"/>
          <w:color w:val="000000"/>
          <w:sz w:val="21"/>
        </w:rPr>
        <w:t>CONFIDENTIALITY OF ARCHAEOLOGICAL SITE INFORMATION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685—14.1</w:t>
      </w:r>
      <w:r>
        <w:rPr>
          <w:rFonts w:ascii="Times New Roman" w:hAnsi="Times New Roman"/>
          <w:b/>
          <w:i w:val="false"/>
          <w:color w:val="000000"/>
          <w:sz w:val="22"/>
        </w:rPr>
        <w:t xml:space="preserve">(263B) </w:t>
      </w:r>
      <w:r>
        <w:rPr>
          <w:rFonts w:ascii="Times New Roman" w:hAnsi="Times New Roman"/>
          <w:b/>
          <w:i w:val="false"/>
          <w:color w:val="000000"/>
          <w:sz w:val="22"/>
        </w:rPr>
        <w:t xml:space="preserve">Objective. </w:t>
      </w:r>
      <w:r>
        <w:rPr>
          <w:rFonts w:ascii="Times New Roman" w:hAnsi="Times New Roman"/>
          <w:b w:val="false"/>
          <w:i w:val="false"/>
          <w:color w:val="000000"/>
          <w:sz w:val="22"/>
        </w:rPr>
        <w:t xml:space="preserve">Pursuant to Iowa Code section </w:t>
      </w:r>
      <w:hyperlink r:id="rId5">
        <w:r>
          <w:rPr>
            <w:rStyle w:val="Hyperlink"/>
            <w:rFonts w:ascii="Times New Roman" w:hAnsi="Times New Roman"/>
            <w:b w:val="false"/>
            <w:i w:val="false"/>
            <w:color w:val="000000"/>
            <w:sz w:val="22"/>
          </w:rPr>
          <w:t>263B.10</w:t>
        </w:r>
      </w:hyperlink>
      <w:r>
        <w:rPr>
          <w:rFonts w:ascii="Times New Roman" w:hAnsi="Times New Roman"/>
          <w:b w:val="false"/>
          <w:i w:val="false"/>
          <w:color w:val="000000"/>
          <w:sz w:val="22"/>
        </w:rPr>
        <w:t>, specific locational information on archaeological resources and sites is confidential unless approved for disclosure. This is intended to provide such resources and sites protection from unreasonable risk of damage or loss. The state archaeologist is the appropriate authority to approve disclosure of information on the location of archaeological resources and sites.</w:t>
      </w:r>
    </w:p>
    <w:p>
      <w:pPr>
        <w:spacing w:before="0" w:after="0"/>
        <w:ind w:left="120"/>
        <w:jc w:val="both"/>
      </w:pPr>
      <w:r>
        <w:rPr>
          <w:rFonts w:ascii="Times New Roman" w:hAnsi="Times New Roman"/>
          <w:b/>
          <w:i w:val="false"/>
          <w:color w:val="000000"/>
          <w:sz w:val="22"/>
        </w:rPr>
        <w:t>685—14.2</w:t>
      </w:r>
      <w:r>
        <w:rPr>
          <w:rFonts w:ascii="Times New Roman" w:hAnsi="Times New Roman"/>
          <w:b/>
          <w:i w:val="false"/>
          <w:color w:val="000000"/>
          <w:sz w:val="22"/>
        </w:rPr>
        <w:t xml:space="preserve">(263B) </w:t>
      </w:r>
      <w:r>
        <w:rPr>
          <w:rFonts w:ascii="Times New Roman" w:hAnsi="Times New Roman"/>
          <w:b/>
          <w:i w:val="false"/>
          <w:color w:val="000000"/>
          <w:sz w:val="22"/>
        </w:rPr>
        <w:t xml:space="preserve">Definition. </w:t>
      </w:r>
      <w:r>
        <w:rPr>
          <w:rFonts w:ascii="Times New Roman" w:hAnsi="Times New Roman"/>
          <w:b w:val="false"/>
          <w:i w:val="false"/>
          <w:color w:val="000000"/>
          <w:sz w:val="22"/>
        </w:rPr>
        <w:t>“Qualified archaeologist” means an individual who has: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graduate degree in archaeology, anthropology, or a closely related field of equivalent specialized training in archaeological research, administration, or management,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At least one year of full-time professional experience,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At least four months of supervised field and analytic experience in general North American archaeology,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demonstrated ability to carry research to completion.</w:t>
      </w:r>
    </w:p>
    <w:p>
      <w:pPr>
        <w:spacing w:before="0" w:after="0"/>
        <w:ind w:left="120"/>
        <w:jc w:val="both"/>
      </w:pPr>
      <w:r>
        <w:rPr>
          <w:rFonts w:ascii="Times New Roman" w:hAnsi="Times New Roman"/>
          <w:b/>
          <w:i w:val="false"/>
          <w:color w:val="000000"/>
          <w:sz w:val="22"/>
        </w:rPr>
        <w:t>685—14.3</w:t>
      </w:r>
      <w:r>
        <w:rPr>
          <w:rFonts w:ascii="Times New Roman" w:hAnsi="Times New Roman"/>
          <w:b/>
          <w:i w:val="false"/>
          <w:color w:val="000000"/>
          <w:sz w:val="22"/>
        </w:rPr>
        <w:t xml:space="preserve">(263B) </w:t>
      </w:r>
      <w:r>
        <w:rPr>
          <w:rFonts w:ascii="Times New Roman" w:hAnsi="Times New Roman"/>
          <w:b/>
          <w:i w:val="false"/>
          <w:color w:val="000000"/>
          <w:sz w:val="22"/>
        </w:rPr>
        <w:t xml:space="preserve">Iowa Archaeological Site File.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14.3(1)</w:t>
      </w:r>
      <w:r>
        <w:rPr>
          <w:rFonts w:ascii="Times New Roman" w:hAnsi="Times New Roman"/>
          <w:b w:val="false"/>
          <w:i w:val="false"/>
          <w:color w:val="000000"/>
          <w:sz w:val="22"/>
        </w:rPr>
        <w:t> </w:t>
      </w:r>
      <w:r>
        <w:rPr>
          <w:rFonts w:ascii="Times New Roman" w:hAnsi="Times New Roman"/>
          <w:b w:val="false"/>
          <w:i w:val="false"/>
          <w:color w:val="000000"/>
          <w:sz w:val="22"/>
        </w:rPr>
        <w:t>Upon request, OSA will make the Iowa Archaeological Site File including site location maps available to the following individuals for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Members of the Association of Iowa Archaeologists;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Members of the Register of Professional Archaeologists;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Qualified archaeologists;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OSA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Students or researchers under the supervision of a person meeting any of the above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Amateur archaeologists, at the discretion of the state archaeologist;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Other persons if OSA determines that disclosure will not result in unreasonable risk of damage to or loss of the resource or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14.3(2)</w:t>
      </w:r>
      <w:r>
        <w:rPr>
          <w:rFonts w:ascii="Times New Roman" w:hAnsi="Times New Roman"/>
          <w:b w:val="false"/>
          <w:i w:val="false"/>
          <w:color w:val="000000"/>
          <w:sz w:val="22"/>
        </w:rPr>
        <w:t> </w:t>
      </w:r>
      <w:r>
        <w:rPr>
          <w:rFonts w:ascii="Times New Roman" w:hAnsi="Times New Roman"/>
          <w:b w:val="false"/>
          <w:i w:val="false"/>
          <w:color w:val="000000"/>
          <w:sz w:val="22"/>
        </w:rPr>
        <w:t>OSA maintains a log of all non-OSA staff users of the Iowa Archaeological Site File and associated site location maps. The log includes the name and address of each user and the date of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14.3(3)</w:t>
      </w:r>
      <w:r>
        <w:rPr>
          <w:rFonts w:ascii="Times New Roman" w:hAnsi="Times New Roman"/>
          <w:b w:val="false"/>
          <w:i w:val="false"/>
          <w:color w:val="000000"/>
          <w:sz w:val="22"/>
        </w:rPr>
        <w:t> </w:t>
      </w:r>
      <w:r>
        <w:rPr>
          <w:rFonts w:ascii="Times New Roman" w:hAnsi="Times New Roman"/>
          <w:b w:val="false"/>
          <w:i w:val="false"/>
          <w:color w:val="000000"/>
          <w:sz w:val="22"/>
        </w:rPr>
        <w:t>One copy of any report or publication utilizing information obtained from the Iowa Archaeological Site File shall be sent to OSA for inclusion in the documents collection.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14.3(4)</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any of the preceding provisions, the state archaeologist retains authority to deny access of any individual to the Iowa Archaeological Site File including site location maps, in accordance with Iowa Code section </w:t>
      </w:r>
      <w:hyperlink r:id="rId6">
        <w:r>
          <w:rPr>
            <w:rStyle w:val="Hyperlink"/>
            <w:rFonts w:ascii="Times New Roman" w:hAnsi="Times New Roman"/>
            <w:b w:val="false"/>
            <w:i w:val="false"/>
            <w:color w:val="000000"/>
            <w:sz w:val="22"/>
          </w:rPr>
          <w:t>22.7(20)</w:t>
        </w:r>
      </w:hyperlink>
      <w:r>
        <w:rPr>
          <w:rFonts w:ascii="Times New Roman" w:hAnsi="Times New Roman"/>
          <w:b w:val="false"/>
          <w:i w:val="false"/>
          <w:color w:val="000000"/>
          <w:sz w:val="22"/>
        </w:rPr>
        <w:t>, if release of the information will result in unreasonable risk of damage to or loss of archaeological resources. An appeal committee consisting of three members of OSA advisory committee shall review contested cases and make recommendations to the university of Iowa vice president for research.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14.3(5)</w:t>
      </w:r>
      <w:r>
        <w:rPr>
          <w:rFonts w:ascii="Times New Roman" w:hAnsi="Times New Roman"/>
          <w:b w:val="false"/>
          <w:i w:val="false"/>
          <w:color w:val="000000"/>
          <w:sz w:val="22"/>
        </w:rPr>
        <w:t> </w:t>
      </w:r>
      <w:r>
        <w:rPr>
          <w:rFonts w:ascii="Times New Roman" w:hAnsi="Times New Roman"/>
          <w:b w:val="false"/>
          <w:i w:val="false"/>
          <w:color w:val="000000"/>
          <w:sz w:val="22"/>
        </w:rPr>
        <w:t>The state archaeologist may enter into cooperative agreements with the state historical society and other agencies in order to make available access to the Iowa Archaeological Site File for planning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14.3(6)</w:t>
      </w:r>
      <w:r>
        <w:rPr>
          <w:rFonts w:ascii="Times New Roman" w:hAnsi="Times New Roman"/>
          <w:b w:val="false"/>
          <w:i w:val="false"/>
          <w:color w:val="000000"/>
          <w:sz w:val="22"/>
        </w:rPr>
        <w:t> </w:t>
      </w:r>
      <w:r>
        <w:rPr>
          <w:rFonts w:ascii="Times New Roman" w:hAnsi="Times New Roman"/>
          <w:b w:val="false"/>
          <w:i w:val="false"/>
          <w:color w:val="000000"/>
          <w:sz w:val="22"/>
        </w:rPr>
        <w:t>Documents containing information on the specific location of any archaeological resource or site shall be considered an extension of the Iowa Archaeological Site File and shall be treated in similar fashion. Such documents include those archived at OSA or released by OSA to agencies or individuals.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9025B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685—14.4</w:t>
      </w:r>
      <w:r>
        <w:rPr>
          <w:rFonts w:ascii="Times New Roman" w:hAnsi="Times New Roman"/>
          <w:b/>
          <w:i w:val="false"/>
          <w:color w:val="000000"/>
          <w:sz w:val="22"/>
        </w:rPr>
        <w:t xml:space="preserve">(263B) </w:t>
      </w:r>
      <w:r>
        <w:rPr>
          <w:rFonts w:ascii="Times New Roman" w:hAnsi="Times New Roman"/>
          <w:b/>
          <w:i w:val="false"/>
          <w:color w:val="000000"/>
          <w:sz w:val="22"/>
        </w:rPr>
        <w:t xml:space="preserve">Policy on copying charges. </w:t>
      </w:r>
      <w:r>
        <w:rPr>
          <w:rFonts w:ascii="Times New Roman" w:hAnsi="Times New Roman"/>
          <w:b w:val="false"/>
          <w:i w:val="false"/>
          <w:color w:val="000000"/>
          <w:sz w:val="22"/>
        </w:rPr>
        <w:t>Anyone making a request for reproduction from the Iowa Archaeological Site File and OSA documents including electronic records will be charged for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9025B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7">
        <w:r>
          <w:rPr>
            <w:rStyle w:val="Hyperlink"/>
            <w:rFonts w:ascii="Times New Roman" w:hAnsi="Times New Roman"/>
            <w:b w:val="false"/>
            <w:i w:val="false"/>
            <w:color w:val="000000"/>
            <w:sz w:val="22"/>
          </w:rPr>
          <w:t>263B.10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6/24/88, Notice 4/20/88—published 7/13/88, effective 8/17/88]</w:t>
      </w:r>
    </w:p>
    <w:p>
      <w:pPr>
        <w:spacing w:before="0" w:after="0"/>
        <w:ind w:left="120"/>
        <w:jc w:val="center"/>
      </w:pPr>
      <w:r>
        <w:rPr>
          <w:rFonts w:ascii="Times New Roman" w:hAnsi="Times New Roman"/>
          <w:b w:val="false"/>
          <w:i w:val="false"/>
          <w:color w:val="000000"/>
          <w:sz w:val="21"/>
        </w:rPr>
        <w:t>[Filed ARC 9025B</w:t>
      </w:r>
      <w:r>
        <w:rPr>
          <w:rFonts w:ascii="Times New Roman" w:hAnsi="Times New Roman"/>
          <w:b w:val="false"/>
          <w:i w:val="false"/>
          <w:color w:val="000000"/>
          <w:sz w:val="21"/>
        </w:rPr>
        <w:t xml:space="preserve"> (Notice ARC 8870B, IAB 6/30/10)</w:t>
      </w:r>
      <w:r>
        <w:rPr>
          <w:rFonts w:ascii="Times New Roman" w:hAnsi="Times New Roman"/>
          <w:b w:val="false"/>
          <w:i w:val="false"/>
          <w:color w:val="000000"/>
          <w:sz w:val="21"/>
        </w:rPr>
        <w:t>, IAB 8/25/10, effective 9/29/10]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63B.10.pdf" Type="http://schemas.openxmlformats.org/officeDocument/2006/relationships/hyperlink" Id="rId5"/>
    <Relationship TargetMode="External" Target="https://www.legis.iowa.gov/docs/ico/chapter/22.7.pdf" Type="http://schemas.openxmlformats.org/officeDocument/2006/relationships/hyperlink" Id="rId6"/>
    <Relationship TargetMode="External" Target="https://www.legis.iowa.gov/docs/ico/chapter/263B.10.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