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LIAISON WITH THE DEPARTMENT OF ANTHROPOLOGY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685—10.1</w:t>
      </w:r>
      <w:r>
        <w:rPr>
          <w:rFonts w:ascii="Times New Roman" w:hAnsi="Times New Roman"/>
          <w:b/>
          <w:i w:val="false"/>
          <w:color w:val="000000"/>
          <w:sz w:val="22"/>
        </w:rPr>
        <w:t xml:space="preserve">(263B) </w:t>
      </w:r>
      <w:r>
        <w:rPr>
          <w:rFonts w:ascii="Times New Roman" w:hAnsi="Times New Roman"/>
          <w:b/>
          <w:i w:val="false"/>
          <w:color w:val="000000"/>
          <w:sz w:val="22"/>
        </w:rPr>
        <w:t xml:space="preserve">Definition. </w:t>
      </w:r>
      <w:r>
        <w:rPr>
          <w:rFonts w:ascii="Times New Roman" w:hAnsi="Times New Roman"/>
          <w:b w:val="false"/>
          <w:i w:val="false"/>
          <w:color w:val="000000"/>
          <w:sz w:val="22"/>
        </w:rPr>
        <w:t>By statute the state board of regents shall appoint a state archaeologist, who shall be a member of the department of anthropology of the State University of Iowa. Midwestern archaeological programs of the department of anthropology and the OSA are coordinated through the cooperative efforts of the state archaeologist and the faculty of the department of anthropology. Such programs include, but are not limited to, field, laboratory, and research projects. As a faculty member, the state archaeologist is also involved in routine interaction with the anthropology faculty on departmental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val="false"/>
          <w:color w:val="000000"/>
          <w:sz w:val="22"/>
        </w:rPr>
        <w:t>In order to facilitate cooperative efforts with the department of anthropology, professors and students under their sponsorship will be granted as free, direct and complete access to the repository and documents collection as OSA staff time will permit. Research projects involving tests which will modify or physically damage specimens in the repository must be cleared with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val="false"/>
          <w:color w:val="000000"/>
          <w:sz w:val="22"/>
        </w:rPr>
        <w:t>OSA staff will cooperate fully with researchers, aiding with the location of materials needed. Work areas will be provided for reasonable lengths of time. All publications or reports resulting in full or in part from the use of OSA collections and facilities shall include an appropriate acknowledgment. One print and one electronic copy of all such publications or reports shall be sent to OSA for inclusion in the documents collection.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263B.1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8/16/78, Notice 3/22/78—published 9/6/78, effective 10/11/78]</w:t>
      </w:r>
    </w:p>
    <w:p>
      <w:pPr>
        <w:spacing w:before="0" w:after="0"/>
        <w:ind w:left="120"/>
        <w:jc w:val="center"/>
      </w:pPr>
      <w:r>
        <w:rPr>
          <w:rFonts w:ascii="Times New Roman" w:hAnsi="Times New Roman"/>
          <w:b w:val="false"/>
          <w:i w:val="false"/>
          <w:color w:val="000000"/>
          <w:sz w:val="21"/>
        </w:rPr>
        <w:t>[Filed emergency 2/19/88—published 3/9/88, effective 2/19/88]</w:t>
      </w:r>
    </w:p>
    <w:p>
      <w:pPr>
        <w:spacing w:before="0" w:after="0"/>
        <w:ind w:left="120"/>
        <w:jc w:val="center"/>
      </w:pPr>
      <w:r>
        <w:rPr>
          <w:rFonts w:ascii="Times New Roman" w:hAnsi="Times New Roman"/>
          <w:b w:val="false"/>
          <w:i w:val="false"/>
          <w:color w:val="000000"/>
          <w:sz w:val="21"/>
        </w:rPr>
        <w:t>[Filed ARC 9025B</w:t>
      </w:r>
      <w:r>
        <w:rPr>
          <w:rFonts w:ascii="Times New Roman" w:hAnsi="Times New Roman"/>
          <w:b w:val="false"/>
          <w:i w:val="false"/>
          <w:color w:val="000000"/>
          <w:sz w:val="21"/>
        </w:rPr>
        <w:t xml:space="preserve"> (Notice ARC 8870B, IAB 6/30/10)</w:t>
      </w:r>
      <w:r>
        <w:rPr>
          <w:rFonts w:ascii="Times New Roman" w:hAnsi="Times New Roman"/>
          <w:b w:val="false"/>
          <w:i w:val="false"/>
          <w:color w:val="000000"/>
          <w:sz w:val="21"/>
        </w:rPr>
        <w:t>, IAB 8/25/10, effective 9/29/10]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3B.1.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