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PURPOSE OF THE AGENCY</w:t>
      </w:r>
    </w:p>
    <w:p>
      <w:pPr>
        <w:spacing w:before="0" w:after="0"/>
        <w:ind w:left="120"/>
        <w:jc w:val="center"/>
      </w:pPr>
      <w:r>
        <w:rPr>
          <w:rFonts w:ascii="Times New Roman" w:hAnsi="Times New Roman"/>
          <w:b w:val="false"/>
          <w:i w:val="false"/>
          <w:color w:val="000000"/>
          <w:sz w:val="14"/>
        </w:rPr>
        <w:t>[Prior to 3/9/88, Archaeologist[70]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685—1.1</w:t>
      </w:r>
      <w:r>
        <w:rPr>
          <w:rFonts w:ascii="Times New Roman" w:hAnsi="Times New Roman"/>
          <w:b/>
          <w:i w:val="false"/>
          <w:color w:val="000000"/>
          <w:sz w:val="22"/>
        </w:rPr>
        <w:t xml:space="preserve">(263B) </w:t>
      </w:r>
      <w:r>
        <w:rPr>
          <w:rFonts w:ascii="Times New Roman" w:hAnsi="Times New Roman"/>
          <w:b/>
          <w:i w:val="false"/>
          <w:color w:val="000000"/>
          <w:sz w:val="22"/>
        </w:rPr>
        <w:t xml:space="preserve">Mission. </w:t>
      </w:r>
      <w:r>
        <w:rPr>
          <w:rFonts w:ascii="Times New Roman" w:hAnsi="Times New Roman"/>
          <w:b w:val="false"/>
          <w:i w:val="false"/>
          <w:color w:val="000000"/>
          <w:sz w:val="22"/>
        </w:rPr>
        <w:t>The office of state archaeologist, hereafter referred to as OSA, was organized in 1959 to provide for the location, recovery, restoration and preservation of archaeological materials for the state, and coordinate these activities with other state agencies. The OSA publishes both educational and scientific reports related to these duties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meet these statutory objectives under Iowa Code section </w:t>
      </w:r>
      <w:hyperlink r:id="rId5">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Acts of the Sixty-seventh General Assembly, Senate File 2200, sections 26 and 50</w:t>
      </w:r>
      <w:r>
        <w:rPr>
          <w:rFonts w:ascii="Times New Roman" w:hAnsi="Times New Roman"/>
          <w:b w:val="false"/>
          <w:i w:val="false"/>
          <w:color w:val="000000"/>
          <w:sz w:val="22"/>
        </w:rPr>
        <w:t>, the OSA is defined as the primary state interagency service organization for archaeological survey, evaluation, and mitigation. In this capacity, the OSA is notified of projects that are funded or permitted by the state or that have the potential for adversely affecting archaeological 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In instances where an agency lacks an archaeological program, the OSA will contact appropriate institutions and professional archaeologists to determine their interest in participating in a state-funded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If an organization or individual other than the OSA agrees to conduct archaeological investigations, the OSA will establish a direct contact between the pertinent state agency and the institution or professional archaeologist. In such projects the OSA acts primarily to coordinate archaeological studies on state projects and ensures that such studies deemed necessary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val="false"/>
          <w:color w:val="000000"/>
          <w:sz w:val="22"/>
        </w:rPr>
        <w:t>The goal of utilizing the procedures in this rule, as they apply to the department of transportation and to any other state agency, is to ensure that neither the state nor any of its legal subdivisions is responsible for the needless destruction of historical objects. If such destruction occurs, or cannot be avoided, OSA will take proper reasonable action to obtain all possible information concerning such materials prior to destruction. However, OSA will not assume financial responsibility for intermediate- to large-scale actions involving the salvaging of archaeological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val="false"/>
          <w:color w:val="000000"/>
          <w:sz w:val="22"/>
        </w:rPr>
        <w:t>OSA performs other duties such as expansion and development of professional and public input into the operation of the office via communication with professional organizations, state and federal agencies and private societies.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val="false"/>
          <w:color w:val="000000"/>
          <w:sz w:val="22"/>
        </w:rPr>
        <w:t>OSA provides assistance to local and regional groups or individuals throughout the state in the areas of lectures, general assistance on public or private projects, curation of artifacts and offers programs of assistance to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w:t>
      </w:r>
      <w:r>
        <w:rPr>
          <w:rFonts w:ascii="Times New Roman" w:hAnsi="Times New Roman"/>
          <w:b w:val="false"/>
          <w:i w:val="false"/>
          <w:color w:val="000000"/>
          <w:sz w:val="22"/>
        </w:rPr>
        <w:t> </w:t>
      </w:r>
      <w:r>
        <w:rPr>
          <w:rFonts w:ascii="Times New Roman" w:hAnsi="Times New Roman"/>
          <w:b w:val="false"/>
          <w:i w:val="false"/>
          <w:color w:val="000000"/>
          <w:sz w:val="22"/>
        </w:rPr>
        <w:t>OSA maintains an archaeological repository for the state and bears the related responsibility of development and maintenance of an archaeological documents collection related to material in the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w:t>
      </w:r>
      <w:r>
        <w:rPr>
          <w:rFonts w:ascii="Times New Roman" w:hAnsi="Times New Roman"/>
          <w:b w:val="false"/>
          <w:i w:val="false"/>
          <w:color w:val="000000"/>
          <w:sz w:val="22"/>
        </w:rPr>
        <w:t> </w:t>
      </w:r>
      <w:r>
        <w:rPr>
          <w:rFonts w:ascii="Times New Roman" w:hAnsi="Times New Roman"/>
          <w:b w:val="false"/>
          <w:i w:val="false"/>
          <w:color w:val="000000"/>
          <w:sz w:val="22"/>
        </w:rPr>
        <w:t>OSA may perform archaeological contract services for agencies utilizing federal, state, or private funding.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263B.6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263B.9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685—1.2</w:t>
      </w:r>
      <w:r>
        <w:rPr>
          <w:rFonts w:ascii="Times New Roman" w:hAnsi="Times New Roman"/>
          <w:b/>
          <w:i w:val="false"/>
          <w:color w:val="000000"/>
          <w:sz w:val="22"/>
        </w:rPr>
        <w:t xml:space="preserve">(263B) </w:t>
      </w:r>
      <w:r>
        <w:rPr>
          <w:rFonts w:ascii="Times New Roman" w:hAnsi="Times New Roman"/>
          <w:b/>
          <w:i w:val="false"/>
          <w:color w:val="000000"/>
          <w:sz w:val="22"/>
        </w:rPr>
        <w:t xml:space="preserve">Divisions. </w:t>
      </w:r>
      <w:r>
        <w:rPr>
          <w:rFonts w:ascii="Times New Roman" w:hAnsi="Times New Roman"/>
          <w:b w:val="false"/>
          <w:i w:val="false"/>
          <w:color w:val="000000"/>
          <w:sz w:val="22"/>
        </w:rPr>
        <w:t>OSA is divided into five divisions: General services, research, contract services, field services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state archaeologist carries the overall responsibility of OSA and for all activities developed from or associated with OSA. The state archaeologist shall be the director of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associate director is responsible for administration of the office and maintenance of the state repository and documents collection, has functional supervision over the staff, acts in the absence of the director, and contributes to production of scientific reports and articles pursuant to Iowa Code section </w:t>
      </w:r>
      <w:hyperlink r:id="rId9">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 xml:space="preserve"> in coordination with the specific requests of the director and submission of reports and articles to the director according to a specific annual timetable developed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research archaeologist has the responsibility, in part, for producing scientific reports and articles pursuant to Iowa Code section </w:t>
      </w:r>
      <w:hyperlink r:id="rId10">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 xml:space="preserve"> in coordination with the specific requests of the director and submitting reports and articles to the director according to a specific annual timetable developed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Contract archaeologists working on OSA projects are considered to be members of the OSA staff. They have the responsibility for meeting the terms of contracts in which they are engaged. Reports prepared for each project undertaken are subject to professional guidelines, federal statutes and the director’s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Publication and field services are handled by the staff as assigned.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263B.5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685—1.3</w:t>
      </w:r>
      <w:r>
        <w:rPr>
          <w:rFonts w:ascii="Times New Roman" w:hAnsi="Times New Roman"/>
          <w:b/>
          <w:i w:val="false"/>
          <w:color w:val="000000"/>
          <w:sz w:val="22"/>
        </w:rPr>
        <w:t xml:space="preserve">(263B) </w:t>
      </w:r>
      <w:r>
        <w:rPr>
          <w:rFonts w:ascii="Times New Roman" w:hAnsi="Times New Roman"/>
          <w:b/>
          <w:i w:val="false"/>
          <w:color w:val="000000"/>
          <w:sz w:val="22"/>
        </w:rPr>
        <w:t xml:space="preserve">Further information. </w:t>
      </w:r>
      <w:r>
        <w:rPr>
          <w:rFonts w:ascii="Times New Roman" w:hAnsi="Times New Roman"/>
          <w:b w:val="false"/>
          <w:i w:val="false"/>
          <w:color w:val="000000"/>
          <w:sz w:val="22"/>
        </w:rPr>
        <w:t>The general public may obtain information concerning the function and operation of OSA either in writing or by telephone to Director, OSA, 700 S. Clinton Street Building, The University of Iowa, Iowa City, Iowa 52242; (319)384-0751.</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8/16/78, Notice 3/22/78—published 9/6/78, effective 10/11/78]</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B.2.pdf" Type="http://schemas.openxmlformats.org/officeDocument/2006/relationships/hyperlink" Id="rId5"/>
    <Relationship TargetMode="External" Target="https://www.legis.iowa.gov/docs/ico/chapter/263B.2.pdf" Type="http://schemas.openxmlformats.org/officeDocument/2006/relationships/hyperlink" Id="rId6"/>
    <Relationship TargetMode="External" Target="https://www.legis.iowa.gov/docs/ico/chapter/263B.6.pdf" Type="http://schemas.openxmlformats.org/officeDocument/2006/relationships/hyperlink" Id="rId7"/>
    <Relationship TargetMode="External" Target="https://www.legis.iowa.gov/docs/ico/chapter/263B.9.pdf" Type="http://schemas.openxmlformats.org/officeDocument/2006/relationships/hyperlink" Id="rId8"/>
    <Relationship TargetMode="External" Target="https://www.legis.iowa.gov/docs/ico/chapter/263B.2.pdf" Type="http://schemas.openxmlformats.org/officeDocument/2006/relationships/hyperlink" Id="rId9"/>
    <Relationship TargetMode="External" Target="https://www.legis.iowa.gov/docs/ico/chapter/263B.2.pdf" Type="http://schemas.openxmlformats.org/officeDocument/2006/relationships/hyperlink" Id="rId10"/>
    <Relationship TargetMode="External" Target="https://www.legis.iowa.gov/docs/ico/chapter/263B.2.pdf" Type="http://schemas.openxmlformats.org/officeDocument/2006/relationships/hyperlink" Id="rId11"/>
    <Relationship TargetMode="External" Target="https://www.legis.iowa.gov/docs/ico/chapter/263B.5.pdf" Type="http://schemas.openxmlformats.org/officeDocument/2006/relationships/hyperlink" Id="rId12"/>
    <Relationship TargetMode="External" Target="https://www.legis.iowa.gov/docs/ico/chapter/17A.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