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POLICIES, PRACTICES AND PROCEDURES</w:t>
      </w:r>
    </w:p>
    <w:p>
      <w:pPr>
        <w:spacing w:before="0" w:after="0"/>
        <w:ind w:left="120"/>
        <w:jc w:val="center"/>
      </w:pPr>
      <w:r>
        <w:rPr>
          <w:rFonts w:ascii="Times New Roman" w:hAnsi="Times New Roman"/>
          <w:b w:val="false"/>
          <w:i w:val="false"/>
          <w:color w:val="000000"/>
          <w:sz w:val="20"/>
        </w:rPr>
        <w:t>[Prior to 4/20/88, Regents, Board of[720]]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8/12/31</w:t>
      </w:r>
    </w:p>
    <w:p>
      <w:pPr>
        <w:spacing w:before="0" w:after="0"/>
        <w:ind w:left="120"/>
        <w:jc w:val="both"/>
      </w:pPr>
      <w:r>
        <w:rPr>
          <w:rFonts w:ascii="Times New Roman" w:hAnsi="Times New Roman"/>
          <w:b/>
          <w:i w:val="false"/>
          <w:color w:val="000000"/>
          <w:sz w:val="22"/>
        </w:rPr>
        <w:t>681—9.1</w:t>
      </w:r>
      <w:r>
        <w:rPr>
          <w:rFonts w:ascii="Times New Roman" w:hAnsi="Times New Roman"/>
          <w:b/>
          <w:i w:val="false"/>
          <w:color w:val="000000"/>
          <w:sz w:val="22"/>
        </w:rPr>
        <w:t xml:space="preserve">(262) </w:t>
      </w:r>
      <w:r>
        <w:rPr>
          <w:rFonts w:ascii="Times New Roman" w:hAnsi="Times New Roman"/>
          <w:b/>
          <w:i w:val="false"/>
          <w:color w:val="000000"/>
          <w:sz w:val="22"/>
        </w:rPr>
        <w:t xml:space="preserve">Uniform rules of personal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w:t>
      </w:r>
      <w:r>
        <w:rPr>
          <w:rFonts w:ascii="Times New Roman" w:hAnsi="Times New Roman"/>
          <w:b w:val="false"/>
          <w:i w:val="false"/>
          <w:color w:val="000000"/>
          <w:sz w:val="22"/>
        </w:rPr>
        <w:t> </w:t>
      </w:r>
      <w:r>
        <w:rPr>
          <w:rFonts w:ascii="Times New Roman" w:hAnsi="Times New Roman"/>
          <w:b w:val="false"/>
          <w:i/>
          <w:color w:val="000000"/>
          <w:sz w:val="22"/>
        </w:rPr>
        <w:t xml:space="preserve">Rules of personal conduct. </w:t>
      </w:r>
      <w:r>
        <w:rPr>
          <w:rFonts w:ascii="Times New Roman" w:hAnsi="Times New Roman"/>
          <w:b w:val="false"/>
          <w:i w:val="false"/>
          <w:color w:val="000000"/>
          <w:sz w:val="22"/>
        </w:rPr>
        <w:t>The acts of misconduct defined in this subrule apply at the universities governed by the state board of regents. The universities are authorized to adopt other definitions of misconduct in addition to those in this rule. Any person, student, member of the faculty or staff, or visitor who intentionally commits, attempts to commit, or incites or aids others in committing any of the following acts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Obstruction or disruption of teaching, research, administration, disciplinary procedures, or other university or university-authorized function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Unauthorized occupation or use of or unauthorized entry into any university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abuse or the threat of physical abuse against any person on the campus or at or during any university-authorized function or event, or other conduct that threatens or endangers the health or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Theft of or damage to property of the university or of a person on the campus or at or during any university-authorized function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Interference with the right of access to university facilities or with any other lawful right of any person on the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Setting a fire on the campus or at or during any university-authorized function or event without proper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or possession of firearms, ammunition, or other dangerous weapons, substances, or materials, or of bombs, explosives, or explosive or incendiary devices except as expressly authorized by the university or applicable law on the property or during any university-affiliated function 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Participation in a riot or unlawful assembly, or failure to disperse, as defined by state law, whether such acts occur on or off the campus.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Violation of any rule of conduct promulgated by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student or member of the faculty or staff who is found to have violated any of the rules of personal conduct set forth in rule </w:t>
      </w:r>
      <w:hyperlink r:id="rId5">
        <w:r>
          <w:rPr>
            <w:rStyle w:val="Hyperlink"/>
            <w:rFonts w:ascii="Times New Roman" w:hAnsi="Times New Roman"/>
            <w:b w:val="false"/>
            <w:i w:val="false"/>
            <w:color w:val="000000"/>
            <w:sz w:val="22"/>
          </w:rPr>
          <w:t>681—9.1</w:t>
        </w:r>
      </w:hyperlink>
      <w:r>
        <w:rPr>
          <w:rFonts w:ascii="Times New Roman" w:hAnsi="Times New Roman"/>
          <w:b w:val="false"/>
          <w:i w:val="false"/>
          <w:color w:val="000000"/>
          <w:sz w:val="22"/>
        </w:rPr>
        <w:t>(262) may be sanctioned up to and including suspension, expulsion, or termination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applies for reinstatement to or reemployment by the university following a sanction of expulsion or termination may be denied reinstatement or reemployment if it is found that such person has committed any acts of misconduct specified in rule </w:t>
      </w:r>
      <w:hyperlink r:id="rId6">
        <w:r>
          <w:rPr>
            <w:rStyle w:val="Hyperlink"/>
            <w:rFonts w:ascii="Times New Roman" w:hAnsi="Times New Roman"/>
            <w:b w:val="false"/>
            <w:i w:val="false"/>
            <w:color w:val="000000"/>
            <w:sz w:val="22"/>
          </w:rPr>
          <w:t>681—9.1</w:t>
        </w:r>
      </w:hyperlink>
      <w:r>
        <w:rPr>
          <w:rFonts w:ascii="Times New Roman" w:hAnsi="Times New Roman"/>
          <w:b w:val="false"/>
          <w:i w:val="false"/>
          <w:color w:val="000000"/>
          <w:sz w:val="22"/>
        </w:rPr>
        <w:t>(262). A person denied reinstatement or reemployment under this subrule may seek further review of the decision in accordance with established university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sanction imposed under subrule </w:t>
      </w:r>
      <w:hyperlink r:id="rId7">
        <w:r>
          <w:rPr>
            <w:rStyle w:val="Hyperlink"/>
            <w:rFonts w:ascii="Times New Roman" w:hAnsi="Times New Roman"/>
            <w:b w:val="false"/>
            <w:i w:val="false"/>
            <w:color w:val="000000"/>
            <w:sz w:val="22"/>
          </w:rPr>
          <w:t>9.1(2)</w:t>
        </w:r>
      </w:hyperlink>
      <w:r>
        <w:rPr>
          <w:rFonts w:ascii="Times New Roman" w:hAnsi="Times New Roman"/>
          <w:b w:val="false"/>
          <w:i w:val="false"/>
          <w:color w:val="000000"/>
          <w:sz w:val="22"/>
        </w:rPr>
        <w:t xml:space="preserve"> shall have operative effect at all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w:t>
      </w:r>
      <w:r>
        <w:rPr>
          <w:rFonts w:ascii="Times New Roman" w:hAnsi="Times New Roman"/>
          <w:b w:val="false"/>
          <w:i w:val="false"/>
          <w:color w:val="000000"/>
          <w:sz w:val="22"/>
        </w:rPr>
        <w:t> </w:t>
      </w:r>
      <w:r>
        <w:rPr>
          <w:rFonts w:ascii="Times New Roman" w:hAnsi="Times New Roman"/>
          <w:b w:val="false"/>
          <w:i/>
          <w:color w:val="000000"/>
          <w:sz w:val="22"/>
        </w:rPr>
        <w:t xml:space="preserve">Emergency power.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president is authorized to declare a state of emergency to exist at the institution upon a determination that violent actions or disruptive activities at the university are of such a nature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present a clear and present danger to the orderly processes of the university or to persons or property on the campus,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require extraordinary measures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Safeguard persons or property at such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 educational or other legitimate institutional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emergency shall cease to exist automatically 48 hours after it is declared unless the president, after reviewing the situation, determines that the state of emergency should be extended, such determination to be made under the standards established in subparagraphs </w:t>
      </w:r>
      <w:hyperlink r:id="rId8">
        <w:r>
          <w:rPr>
            <w:rStyle w:val="Hyperlink"/>
            <w:rFonts w:ascii="Times New Roman" w:hAnsi="Times New Roman"/>
            <w:b w:val="false"/>
            <w:i w:val="false"/>
            <w:color w:val="000000"/>
            <w:sz w:val="22"/>
          </w:rPr>
          <w:t>9.1(3)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(2). Each extension shall be for a maximum period of 48 hours with a new determination being made for each extension. The president may declare the state of emergency to be over before the 48-hour period has run.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soon as feasible after declaring a state of emergency, the president shall notify the state board of regents of actions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finding by the president as set forth in paragraph </w:t>
      </w:r>
      <w:hyperlink r:id="rId9">
        <w:r>
          <w:rPr>
            <w:rStyle w:val="Hyperlink"/>
            <w:rFonts w:ascii="Times New Roman" w:hAnsi="Times New Roman"/>
            <w:b w:val="false"/>
            <w:i w:val="false"/>
            <w:color w:val="000000"/>
            <w:sz w:val="22"/>
          </w:rPr>
          <w:t>9.1(3)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president is authorized to take such action as may be necessary to eliminate or alleviate a clear and present danger to the orderly processes of the university and to safeguard persons or property at the university or to maintain educational or other legitimate university functions, including barring a particular person or persons from the campus.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w:t>
      </w:r>
      <w:r>
        <w:rPr>
          <w:rFonts w:ascii="Times New Roman" w:hAnsi="Times New Roman"/>
          <w:b w:val="false"/>
          <w:i w:val="false"/>
          <w:color w:val="000000"/>
          <w:sz w:val="22"/>
        </w:rPr>
        <w:t> </w:t>
      </w:r>
      <w:r>
        <w:rPr>
          <w:rFonts w:ascii="Times New Roman" w:hAnsi="Times New Roman"/>
          <w:b w:val="false"/>
          <w:i/>
          <w:color w:val="000000"/>
          <w:sz w:val="22"/>
        </w:rPr>
        <w:t xml:space="preserve">Sanctions under emergency power. </w:t>
      </w:r>
      <w:r>
        <w:rPr>
          <w:rFonts w:ascii="Times New Roman" w:hAnsi="Times New Roman"/>
          <w:b w:val="false"/>
          <w:i w:val="false"/>
          <w:color w:val="000000"/>
          <w:sz w:val="22"/>
        </w:rPr>
        <w:t xml:space="preserve">Any person who is found to have knowingly violated a presidential order issued as contemplated in subrule </w:t>
      </w:r>
      <w:hyperlink r:id="rId10">
        <w:r>
          <w:rPr>
            <w:rStyle w:val="Hyperlink"/>
            <w:rFonts w:ascii="Times New Roman" w:hAnsi="Times New Roman"/>
            <w:b w:val="false"/>
            <w:i w:val="false"/>
            <w:color w:val="000000"/>
            <w:sz w:val="22"/>
          </w:rPr>
          <w:t>9.1(3)</w:t>
        </w:r>
      </w:hyperlink>
      <w:r>
        <w:rPr>
          <w:rFonts w:ascii="Times New Roman" w:hAnsi="Times New Roman"/>
          <w:b w:val="false"/>
          <w:i w:val="false"/>
          <w:color w:val="000000"/>
          <w:sz w:val="22"/>
        </w:rPr>
        <w:t xml:space="preserve"> may be disciplined, up to and including expulsion or termination from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w:t>
      </w:r>
      <w:r>
        <w:rPr>
          <w:rFonts w:ascii="Times New Roman" w:hAnsi="Times New Roman"/>
          <w:b w:val="false"/>
          <w:i w:val="false"/>
          <w:color w:val="000000"/>
          <w:sz w:val="22"/>
        </w:rPr>
        <w:t> </w:t>
      </w:r>
      <w:r>
        <w:rPr>
          <w:rFonts w:ascii="Times New Roman" w:hAnsi="Times New Roman"/>
          <w:b w:val="false"/>
          <w:i/>
          <w:color w:val="000000"/>
          <w:sz w:val="22"/>
        </w:rPr>
        <w:t xml:space="preserve">Constitutional rights. </w:t>
      </w:r>
      <w:r>
        <w:rPr>
          <w:rFonts w:ascii="Times New Roman" w:hAnsi="Times New Roman"/>
          <w:b w:val="false"/>
          <w:i w:val="false"/>
          <w:color w:val="000000"/>
          <w:sz w:val="22"/>
        </w:rPr>
        <w:t>The foregoing rules shall be construed so as not to abridge any person’s constitutional rights under the First Amendment of the Constitution of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681—9.2</w:t>
      </w:r>
      <w:r>
        <w:rPr>
          <w:rFonts w:ascii="Times New Roman" w:hAnsi="Times New Roman"/>
          <w:b/>
          <w:i w:val="false"/>
          <w:color w:val="000000"/>
          <w:sz w:val="22"/>
        </w:rPr>
        <w:t xml:space="preserve">(262) </w:t>
      </w:r>
      <w:r>
        <w:rPr>
          <w:rFonts w:ascii="Times New Roman" w:hAnsi="Times New Roman"/>
          <w:b/>
          <w:i w:val="false"/>
          <w:color w:val="000000"/>
          <w:sz w:val="22"/>
        </w:rPr>
        <w:t xml:space="preserve">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Transfers among regent institutions. </w:t>
      </w:r>
      <w:r>
        <w:rPr>
          <w:rFonts w:ascii="Times New Roman" w:hAnsi="Times New Roman"/>
          <w:b w:val="false"/>
          <w:i w:val="false"/>
          <w:color w:val="000000"/>
          <w:sz w:val="22"/>
        </w:rPr>
        <w:t>Admission is denied if the applicant currently is under disciplinary suspension or has been dismissed from one of the other regent universities for violation of the state board of regents’ rules of personal conduct and is not eligible to reenter. Further, if such transfer applicant is currently on probation for having violated the state board of regents’ rules of personal conduct at one university, the applicant, if admitted to another regent university, is admitted on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Transfers from nonregent institutions. </w:t>
      </w:r>
      <w:r>
        <w:rPr>
          <w:rFonts w:ascii="Times New Roman" w:hAnsi="Times New Roman"/>
          <w:b w:val="false"/>
          <w:i w:val="false"/>
          <w:color w:val="000000"/>
          <w:sz w:val="22"/>
        </w:rPr>
        <w:t>If the application for admission or the transcript from another institution shows that the applicant is not eligible to reenroll there, further inquiry will be made to determine the reason. Such inquiry may lead to admission, conditional admission, or denial of admission. Appeals from the decision will be referred to appropriate university channels.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Applications from visitors. </w:t>
      </w:r>
      <w:r>
        <w:rPr>
          <w:rFonts w:ascii="Times New Roman" w:hAnsi="Times New Roman"/>
          <w:b w:val="false"/>
          <w:i w:val="false"/>
          <w:color w:val="000000"/>
          <w:sz w:val="22"/>
        </w:rPr>
        <w:t>A visitor to the campus who is believed to have violated the rules of personal conduct and who later applies for admission or employment may be denied admission or employment because of the applicant’s prior conduct, subject to review if the denial is appealed by the applicant. An applicant who would be subject to such a denial and review at any university governed by the state board of regents shall be subject to the same denial and review by the other two regent universities if application for admission or employment is made to them. The three universities shall cooperate in making known the identity of persons barred from admission or employment among all three institutions.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681—9.3</w:t>
      </w:r>
      <w:r>
        <w:rPr>
          <w:rFonts w:ascii="Times New Roman" w:hAnsi="Times New Roman"/>
          <w:b/>
          <w:i w:val="false"/>
          <w:color w:val="000000"/>
          <w:sz w:val="22"/>
        </w:rPr>
        <w:t xml:space="preserve">(23A) </w:t>
      </w:r>
      <w:r>
        <w:rPr>
          <w:rFonts w:ascii="Times New Roman" w:hAnsi="Times New Roman"/>
          <w:b/>
          <w:i w:val="false"/>
          <w:color w:val="000000"/>
          <w:sz w:val="22"/>
        </w:rPr>
        <w:t xml:space="preserve">Competition with private enterprise.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w:t>
      </w:r>
      <w:r>
        <w:rPr>
          <w:rFonts w:ascii="Times New Roman" w:hAnsi="Times New Roman"/>
          <w:b w:val="false"/>
          <w:i w:val="false"/>
          <w:color w:val="000000"/>
          <w:sz w:val="22"/>
        </w:rPr>
        <w:t> </w:t>
      </w:r>
      <w:r>
        <w:rPr>
          <w:rFonts w:ascii="Times New Roman" w:hAnsi="Times New Roman"/>
          <w:b w:val="false"/>
          <w:i w:val="false"/>
          <w:color w:val="000000"/>
          <w:sz w:val="22"/>
        </w:rPr>
        <w:t>means to engage in, either directly or by or through another state agency or political subdivision, the manufacturing, processing, sale, offering for sale, rental, leasing, delivery, dispensing, distributing, or advertising of goods or services to the public that are also offered by private enterprise. “Compete” does not include the use of goods or services exclusively by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“Institutions”</w:t>
      </w:r>
      <w:r>
        <w:rPr>
          <w:rFonts w:ascii="Times New Roman" w:hAnsi="Times New Roman"/>
          <w:b w:val="false"/>
          <w:i w:val="false"/>
          <w:color w:val="000000"/>
          <w:sz w:val="22"/>
        </w:rPr>
        <w:t> </w:t>
      </w:r>
      <w:r>
        <w:rPr>
          <w:rFonts w:ascii="Times New Roman" w:hAnsi="Times New Roman"/>
          <w:b w:val="false"/>
          <w:i w:val="false"/>
          <w:color w:val="000000"/>
          <w:sz w:val="22"/>
        </w:rPr>
        <w:t>means the State University of Iowa, the University of Northern Iowa, and Iowa State University of Science and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enterprise”</w:t>
      </w:r>
      <w:r>
        <w:rPr>
          <w:rFonts w:ascii="Times New Roman" w:hAnsi="Times New Roman"/>
          <w:b w:val="false"/>
          <w:i w:val="false"/>
          <w:color w:val="000000"/>
          <w:sz w:val="22"/>
        </w:rPr>
        <w:t> </w:t>
      </w:r>
      <w:r>
        <w:rPr>
          <w:rFonts w:ascii="Times New Roman" w:hAnsi="Times New Roman"/>
          <w:b w:val="false"/>
          <w:i w:val="false"/>
          <w:color w:val="000000"/>
          <w:sz w:val="22"/>
        </w:rPr>
        <w:t>means an individual, firm, partnership, joint venture, corporation, association, or other legal entity engaging in the manufacturing, processing, sale, offering for sale, rental, leasing, delivery, dispensing, distributing, or advertising of goods or services for profit.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color w:val="000000"/>
          <w:sz w:val="22"/>
        </w:rPr>
        <w:t xml:space="preserve">Policy in writing. </w:t>
      </w:r>
      <w:r>
        <w:rPr>
          <w:rFonts w:ascii="Times New Roman" w:hAnsi="Times New Roman"/>
          <w:b w:val="false"/>
          <w:i w:val="false"/>
          <w:color w:val="000000"/>
          <w:sz w:val="22"/>
        </w:rPr>
        <w:t>Each institution shall have a written policy that contains: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mechanism for reviewing proposed activities involving the sale of goods and services to ensure that the activities are permitted as set forth in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procedure for receiving, reviewing, and responding to inquiries about activities carried out by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Institutions shall not engage in activities that compete with private enterprise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w:t>
      </w:r>
      <w:r>
        <w:rPr>
          <w:rFonts w:ascii="Times New Roman" w:hAnsi="Times New Roman"/>
          <w:b w:val="false"/>
          <w:i w:val="false"/>
          <w:color w:val="000000"/>
          <w:sz w:val="22"/>
        </w:rPr>
        <w:t> </w:t>
      </w:r>
      <w:r>
        <w:rPr>
          <w:rFonts w:ascii="Times New Roman" w:hAnsi="Times New Roman"/>
          <w:b w:val="false"/>
          <w:i/>
          <w:color w:val="000000"/>
          <w:sz w:val="22"/>
        </w:rPr>
        <w:t xml:space="preserve">Exceptions provided by statute. </w:t>
      </w:r>
      <w:r>
        <w:rPr>
          <w:rFonts w:ascii="Times New Roman" w:hAnsi="Times New Roman"/>
          <w:b w:val="false"/>
          <w:i w:val="false"/>
          <w:color w:val="000000"/>
          <w:sz w:val="22"/>
        </w:rPr>
        <w:t xml:space="preserve">This prohibition does not apply to the activities of an institution as provided in Iowa Code section </w:t>
      </w:r>
      <w:hyperlink r:id="rId11">
        <w:r>
          <w:rPr>
            <w:rStyle w:val="Hyperlink"/>
            <w:rFonts w:ascii="Times New Roman" w:hAnsi="Times New Roman"/>
            <w:b w:val="false"/>
            <w:i w:val="false"/>
            <w:color w:val="000000"/>
            <w:sz w:val="22"/>
          </w:rPr>
          <w:t>23A.2(8)</w:t>
        </w:r>
      </w:hyperlink>
      <w:r>
        <w:rPr>
          <w:rFonts w:ascii="Times New Roman" w:hAnsi="Times New Roman"/>
          <w:b w:val="false"/>
          <w:i/>
          <w:color w:val="000000"/>
          <w:sz w:val="22"/>
        </w:rPr>
        <w:t>“k”</w:t>
      </w:r>
      <w:r>
        <w:rPr>
          <w:rFonts w:ascii="Times New Roman" w:hAnsi="Times New Roman"/>
          <w:b w:val="false"/>
          <w:i w:val="false"/>
          <w:color w:val="000000"/>
          <w:sz w:val="22"/>
        </w:rPr>
        <w:t xml:space="preserve">(1) through </w:t>
      </w:r>
      <w:r>
        <w:rPr>
          <w:rFonts w:ascii="Times New Roman" w:hAnsi="Times New Roman"/>
          <w:b w:val="false"/>
          <w:i/>
          <w:color w:val="000000"/>
          <w:sz w:val="22"/>
        </w:rPr>
        <w:t>“k”</w:t>
      </w:r>
      <w:r>
        <w:rPr>
          <w:rFonts w:ascii="Times New Roman" w:hAnsi="Times New Roman"/>
          <w:b w:val="false"/>
          <w:i w:val="false"/>
          <w:color w:val="000000"/>
          <w:sz w:val="22"/>
        </w:rPr>
        <w:t>(10) or any other applicable provision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The state board of regents exempts the following activities from the prohibition against competition with private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Goods and services that are directly and reasonably related to the mission of the institution,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Conferences, institutes, outreach programs, specialized centers and other efforts and programs that provide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day care services and health services provided to members of the university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Educational media, publication, distribution, and audiovisual centers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Family and guest housing or short-term lodging;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Laundry, custodial, maintenance, and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Goods and services offered to only students, employees, or guests of the institution or school and that cannot be provided in a timely manner by private enterprise at the same or lower cost and of the same or better quality or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of institutional aircraft and vehicles in connection with institution-related travel.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 or devices sold or leased for use off premises of an institution or University of Iowa Hospitals and Clinics.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Goods or services that are not otherwise available in the quantity or quality required by the institution, including but not limited to specialized course materials, equipment, supplies, software, and publications.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Telecommunications systems utilized for communications and broadcast and narrowcast communication systems, including microwave, fiber-optic and satellite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Facilities, programs, and associated support services for fitness and recreation.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Food services and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Sales of books, records, tapes, software, educational equipment and supplies, and personal computers and associated hardware.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Goods and services provided to other state board of regents institutions; affiliates of state board of regents institutions; federal, state, and local government entities; nonprofit organizations; entities established pursuant to Iowa Code chapter </w:t>
      </w:r>
      <w:hyperlink r:id="rId12">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and student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Public-private partnerships or similar economic development projects that are initiated for the benefit of one or more institutions as determined by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private enterprise that seeks to appeal an action or activity of an institution shall attempt to resolve the issue at the institutional level. The form of appeal to the institution shall be a letter to the chief business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private enterprise is dissatisfied with the institution’s response, the private enterprise may notify the executive director of the state board of regents and request assistance. This request shall be in writing and shall describe the action or activity that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then take action to assist the private enterprise and the institution in resolving the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issue remains unresolved, the executive director, at the request of the private enterprise, may docket the matter for review by the state board of regents. If the matter is docketed, the executive director will prepare a recommendation for the state board of regents to consider. A copy of the recommendation with notice of the time, date, and place of the meeting for which the matter has been docketed shall be transmitted to the private enterprise and the institutions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board of regents action shall constitute a final agency action.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
        <w:r>
          <w:rPr>
            <w:rStyle w:val="Hyperlink"/>
            <w:rFonts w:ascii="Times New Roman" w:hAnsi="Times New Roman"/>
            <w:b w:val="false"/>
            <w:i w:val="false"/>
            <w:color w:val="000000"/>
            <w:sz w:val="22"/>
          </w:rPr>
          <w:t>23A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681—9.4</w:t>
      </w:r>
      <w:r>
        <w:rPr>
          <w:rFonts w:ascii="Times New Roman" w:hAnsi="Times New Roman"/>
          <w:b/>
          <w:i w:val="false"/>
          <w:color w:val="000000"/>
          <w:sz w:val="22"/>
        </w:rPr>
        <w:t xml:space="preserve">(262) </w:t>
      </w:r>
      <w:r>
        <w:rPr>
          <w:rFonts w:ascii="Times New Roman" w:hAnsi="Times New Roman"/>
          <w:b/>
          <w:i w:val="false"/>
          <w:color w:val="000000"/>
          <w:sz w:val="22"/>
        </w:rPr>
        <w:t xml:space="preserve">Procurement policy for goods and services. </w:t>
      </w:r>
      <w:r>
        <w:rPr>
          <w:rFonts w:ascii="Times New Roman" w:hAnsi="Times New Roman"/>
          <w:b w:val="false"/>
          <w:i w:val="false"/>
          <w:color w:val="000000"/>
          <w:sz w:val="22"/>
        </w:rPr>
        <w:t>The best interests of the state of Iowa and of the regents institutions are served through implementation of a full and free competitive purchasing system for the procurement of goods and services. The name of the successful bidder and all other bidders and the amounts bid shall be supplied to any person upon oral or written request following the execution of the prime contract(s) or agreement(s) related to the procurement.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681—9.5</w:t>
      </w:r>
      <w:r>
        <w:rPr>
          <w:rFonts w:ascii="Times New Roman" w:hAnsi="Times New Roman"/>
          <w:b/>
          <w:i w:val="false"/>
          <w:color w:val="000000"/>
          <w:sz w:val="22"/>
        </w:rPr>
        <w:t xml:space="preserve">(262) </w:t>
      </w:r>
      <w:r>
        <w:rPr>
          <w:rFonts w:ascii="Times New Roman" w:hAnsi="Times New Roman"/>
          <w:b/>
          <w:i w:val="false"/>
          <w:color w:val="000000"/>
          <w:sz w:val="22"/>
        </w:rPr>
        <w:t xml:space="preserve">Contracting authority. </w:t>
      </w:r>
      <w:r>
        <w:rPr>
          <w:rFonts w:ascii="Times New Roman" w:hAnsi="Times New Roman"/>
          <w:b w:val="false"/>
          <w:i w:val="false"/>
          <w:color w:val="000000"/>
          <w:sz w:val="22"/>
        </w:rPr>
        <w:t>Except for authority retained by the state board of regents pursuant to law, rule, or state board of regents policy, the state board of regents delegates to the president of each university the authority to enter into contracts and agreements. Each president may delegate the president’s authority, in whole or in part, to other employees at the president’s university.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681—9.6</w:t>
      </w:r>
      <w:r>
        <w:rPr>
          <w:rFonts w:ascii="Times New Roman" w:hAnsi="Times New Roman"/>
          <w:b/>
          <w:i w:val="false"/>
          <w:color w:val="000000"/>
          <w:sz w:val="22"/>
        </w:rPr>
        <w:t xml:space="preserve">(262) </w:t>
      </w:r>
      <w:r>
        <w:rPr>
          <w:rFonts w:ascii="Times New Roman" w:hAnsi="Times New Roman"/>
          <w:b/>
          <w:i w:val="false"/>
          <w:color w:val="000000"/>
          <w:sz w:val="22"/>
        </w:rPr>
        <w:t xml:space="preserve">Adoption of rules and policies. </w:t>
      </w:r>
      <w:r>
        <w:rPr>
          <w:rFonts w:ascii="Times New Roman" w:hAnsi="Times New Roman"/>
          <w:b w:val="false"/>
          <w:i w:val="false"/>
          <w:color w:val="000000"/>
          <w:sz w:val="22"/>
        </w:rPr>
        <w:t>The president of each institution is delegated the authority to adopt policies as may be appropriate for the operation of the institution and that are not inconsistent with the general rules and policies adopted by the state board of regents. The state board of regents retains the authority to rescind any institutional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0422D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262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6/16/75]</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emergency 7/27/88—published 8/24/88, effective 7/27/88]</w:t>
      </w:r>
    </w:p>
    <w:p>
      <w:pPr>
        <w:spacing w:before="0" w:after="0"/>
        <w:ind w:left="120"/>
        <w:jc w:val="center"/>
      </w:pPr>
      <w:r>
        <w:rPr>
          <w:rFonts w:ascii="Times New Roman" w:hAnsi="Times New Roman"/>
          <w:b w:val="false"/>
          <w:i w:val="false"/>
          <w:color w:val="000000"/>
          <w:sz w:val="21"/>
        </w:rPr>
        <w:t>[Filed 5/25/89, Notice 3/22/89—published 6/14/89, effective 7/19/89]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6/23/89, Notice 3/8/89—published 7/12/89, effective 8/16/89]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7/2/90, Notice 5/2/90—published 7/25/90, effective 8/29/90]</w:t>
      </w:r>
    </w:p>
    <w:p>
      <w:pPr>
        <w:spacing w:before="0" w:after="0"/>
        <w:ind w:left="120"/>
        <w:jc w:val="center"/>
      </w:pPr>
      <w:r>
        <w:rPr>
          <w:rFonts w:ascii="Times New Roman" w:hAnsi="Times New Roman"/>
          <w:b w:val="false"/>
          <w:i w:val="false"/>
          <w:color w:val="000000"/>
          <w:sz w:val="21"/>
        </w:rPr>
        <w:t>[Filed 5/19/95, Notice 4/12/95—published 6/7/95, effective 7/12/95]</w:t>
      </w:r>
    </w:p>
    <w:p>
      <w:pPr>
        <w:spacing w:before="0" w:after="0"/>
        <w:ind w:left="120"/>
        <w:jc w:val="center"/>
      </w:pPr>
      <w:r>
        <w:rPr>
          <w:rFonts w:ascii="Times New Roman" w:hAnsi="Times New Roman"/>
          <w:b w:val="false"/>
          <w:i w:val="false"/>
          <w:color w:val="000000"/>
          <w:sz w:val="21"/>
        </w:rPr>
        <w:t>[Filed 12/21/04, Notice 10/13/04—published 1/19/05, effective 2/23/05]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[Filed ARC 0037C</w:t>
      </w:r>
      <w:r>
        <w:rPr>
          <w:rFonts w:ascii="Times New Roman" w:hAnsi="Times New Roman"/>
          <w:b w:val="false"/>
          <w:i w:val="false"/>
          <w:color w:val="000000"/>
          <w:sz w:val="21"/>
        </w:rPr>
        <w:t xml:space="preserve"> (Notice ARC 9869B, IAB 11/30/11)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5950C</w:t>
      </w:r>
      <w:r>
        <w:rPr>
          <w:rFonts w:ascii="Times New Roman" w:hAnsi="Times New Roman"/>
          <w:b w:val="false"/>
          <w:i w:val="false"/>
          <w:color w:val="000000"/>
          <w:sz w:val="21"/>
        </w:rPr>
        <w:t xml:space="preserve"> (Notice ARC 5698C,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0422D</w:t>
      </w:r>
      <w:r>
        <w:rPr>
          <w:rFonts w:ascii="Times New Roman" w:hAnsi="Times New Roman"/>
          <w:b w:val="false"/>
          <w:i w:val="false"/>
          <w:color w:val="000000"/>
          <w:sz w:val="21"/>
        </w:rPr>
        <w:t xml:space="preserve"> (Notice ARC 0169D, IAB 4/1/26)</w:t>
      </w:r>
      <w:r>
        <w:rPr>
          <w:rFonts w:ascii="Times New Roman" w:hAnsi="Times New Roman"/>
          <w:b w:val="false"/>
          <w:i w:val="false"/>
          <w:color w:val="000000"/>
          <w:sz w:val="21"/>
        </w:rPr>
        <w:t>, IAB 7/8/26, effective 8/12/26]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681—9.4(23A) delayed 70 days from 8/16/89 by the Administrative Rules Review Committee at its August 3, 1989 meeting.</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9.1.pdf" Type="http://schemas.openxmlformats.org/officeDocument/2006/relationships/hyperlink" Id="rId5"/>
    <Relationship TargetMode="External" Target="https://www.legis.iowa.gov/docs/iac/rule/681.9.1.pdf" Type="http://schemas.openxmlformats.org/officeDocument/2006/relationships/hyperlink" Id="rId6"/>
    <Relationship TargetMode="External" Target="https://www.legis.iowa.gov/docs/iac/rule/681.9.1.pdf" Type="http://schemas.openxmlformats.org/officeDocument/2006/relationships/hyperlink" Id="rId7"/>
    <Relationship TargetMode="External" Target="https://www.legis.iowa.gov/docs/iac/rule/681.9.1.pdf" Type="http://schemas.openxmlformats.org/officeDocument/2006/relationships/hyperlink" Id="rId8"/>
    <Relationship TargetMode="External" Target="https://www.legis.iowa.gov/docs/iac/rule/681.9.1.pdf" Type="http://schemas.openxmlformats.org/officeDocument/2006/relationships/hyperlink" Id="rId9"/>
    <Relationship TargetMode="External" Target="https://www.legis.iowa.gov/docs/iac/rule/681.9.1.pdf" Type="http://schemas.openxmlformats.org/officeDocument/2006/relationships/hyperlink" Id="rId10"/>
    <Relationship TargetMode="External" Target="https://www.legis.iowa.gov/docs/ico/chapter/23A.2.pdf" Type="http://schemas.openxmlformats.org/officeDocument/2006/relationships/hyperlink" Id="rId11"/>
    <Relationship TargetMode="External" Target="https://www.legis.iowa.gov/docs/ico/chapter/28E.pdf" Type="http://schemas.openxmlformats.org/officeDocument/2006/relationships/hyperlink" Id="rId12"/>
    <Relationship TargetMode="External" Target="https://www.legis.iowa.gov/docs/ico/chapter/23A.pdf" Type="http://schemas.openxmlformats.org/officeDocument/2006/relationships/hyperlink" Id="rId13"/>
    <Relationship TargetMode="External" Target="https://www.legis.iowa.gov/docs/ico/chapter/262.pdf" Type="http://schemas.openxmlformats.org/officeDocument/2006/relationships/hyperlink" Id="rId14"/>
    <Relationship TargetMode="External" Target="https://www.legis.iowa.gov/docs/ico/chapter/23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