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REGENTS HUMAN RESOURCES MANAGEMENT—MERIT SYSTEM RULES</w:t>
      </w:r>
    </w:p>
    <w:p>
      <w:pPr>
        <w:spacing w:before="0" w:after="0"/>
        <w:ind w:left="120"/>
        <w:jc w:val="center"/>
      </w:pPr>
      <w:r>
        <w:rPr>
          <w:rFonts w:ascii="Times New Roman" w:hAnsi="Times New Roman"/>
          <w:b w:val="false"/>
          <w:i w:val="false"/>
          <w:color w:val="000000"/>
          <w:sz w:val="20"/>
        </w:rPr>
        <w:t>[Prior to 4/20/88, Regents, Board of[720]]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8/12/31</w:t>
      </w:r>
    </w:p>
    <w:p>
      <w:pPr>
        <w:pBdr>
          <w:top w:space="10"/>
        </w:pBdr>
        <w:spacing w:before="0" w:after="0"/>
        <w:ind w:left="120"/>
        <w:jc w:val="center"/>
      </w:pPr>
      <w:r>
        <w:rPr>
          <w:rFonts w:ascii="Times New Roman" w:hAnsi="Times New Roman"/>
          <w:b w:val="false"/>
          <w:i w:val="false"/>
          <w:color w:val="000000"/>
          <w:sz w:val="16"/>
        </w:rPr>
        <w:t>ORGANIZATION AND ADMINISTRATION</w:t>
      </w:r>
    </w:p>
    <w:p>
      <w:pPr>
        <w:spacing w:before="0" w:after="0"/>
        <w:ind w:left="120"/>
        <w:jc w:val="both"/>
      </w:pPr>
      <w:r>
        <w:rPr>
          <w:rFonts w:ascii="Times New Roman" w:hAnsi="Times New Roman"/>
          <w:b/>
          <w:i w:val="false"/>
          <w:color w:val="000000"/>
          <w:sz w:val="22"/>
        </w:rPr>
        <w:t>681—3.1</w:t>
      </w:r>
      <w:r>
        <w:rPr>
          <w:rFonts w:ascii="Times New Roman" w:hAnsi="Times New Roman"/>
          <w:b/>
          <w:i w:val="false"/>
          <w:color w:val="000000"/>
          <w:sz w:val="22"/>
        </w:rPr>
        <w:t xml:space="preserve">(8A) </w:t>
      </w:r>
      <w:r>
        <w:rPr>
          <w:rFonts w:ascii="Times New Roman" w:hAnsi="Times New Roman"/>
          <w:b/>
          <w:i w:val="false"/>
          <w:color w:val="000000"/>
          <w:sz w:val="22"/>
        </w:rPr>
        <w:t xml:space="preserve">Covered employees. </w:t>
      </w:r>
      <w:r>
        <w:rPr>
          <w:rFonts w:ascii="Times New Roman" w:hAnsi="Times New Roman"/>
          <w:b w:val="false"/>
          <w:i w:val="false"/>
          <w:color w:val="000000"/>
          <w:sz w:val="22"/>
        </w:rPr>
        <w:t xml:space="preserve">All merit employees of the board will be covered under the rules of this system in accordance with Iowa Code section </w:t>
      </w:r>
      <w:hyperlink r:id="rId5">
        <w:r>
          <w:rPr>
            <w:rStyle w:val="Hyperlink"/>
            <w:rFonts w:ascii="Times New Roman" w:hAnsi="Times New Roman"/>
            <w:b w:val="false"/>
            <w:i w:val="false"/>
            <w:color w:val="000000"/>
            <w:sz w:val="22"/>
          </w:rPr>
          <w:t>8A.412(5)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681—3.2</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Under the authority of the board and the supervision of its executive director, a merit system director will be appointed who will be responsible for the development, operation and evaluation of the system in compliance with the objectives and intent of certain provisions, related to merit staff employment and board policies and rules. At each board institution, the chief executive will designate an administrator to serve as resident director. The resident director will be responsible, through the chief executive at the institution, for human resources administration in accordance with these rules. The merit system director shall review the operation of the merit system at each of the institutions and will be responsible for the direction of the merit system and have the authority to ensure the administration of the merit system is consistent with the provision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The resident directors keep detailed records on each employee. They will also maintain records on operations conducted under these rules and report summaries to the merit system director as requested. Additionally, they will prepare other reports to ensure compliance with regents, state and federal standards. In collaboration with employing departments, the resident director will establish a program that will provide for the regular evaluations, at least annually, of the performance of all employees consistent with board and institutional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DEFINITIONS</w:t>
      </w:r>
    </w:p>
    <w:p>
      <w:pPr>
        <w:spacing w:before="0" w:after="0"/>
        <w:ind w:left="120"/>
        <w:jc w:val="both"/>
      </w:pPr>
      <w:r>
        <w:rPr>
          <w:rFonts w:ascii="Times New Roman" w:hAnsi="Times New Roman"/>
          <w:b/>
          <w:i w:val="false"/>
          <w:color w:val="000000"/>
          <w:sz w:val="22"/>
        </w:rPr>
        <w:t>681—3.3</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service”</w:t>
      </w:r>
      <w:r>
        <w:rPr>
          <w:rFonts w:ascii="Times New Roman" w:hAnsi="Times New Roman"/>
          <w:b w:val="false"/>
          <w:i w:val="false"/>
          <w:color w:val="000000"/>
          <w:sz w:val="22"/>
        </w:rPr>
        <w:t> </w:t>
      </w:r>
      <w:r>
        <w:rPr>
          <w:rFonts w:ascii="Times New Roman" w:hAnsi="Times New Roman"/>
          <w:b w:val="false"/>
          <w:i w:val="false"/>
          <w:color w:val="000000"/>
          <w:sz w:val="22"/>
        </w:rPr>
        <w:t>is a period of ongoing employment performing the duties of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starting rate”</w:t>
      </w:r>
      <w:r>
        <w:rPr>
          <w:rFonts w:ascii="Times New Roman" w:hAnsi="Times New Roman"/>
          <w:b w:val="false"/>
          <w:i w:val="false"/>
          <w:color w:val="000000"/>
          <w:sz w:val="22"/>
        </w:rPr>
        <w:t> </w:t>
      </w:r>
      <w:r>
        <w:rPr>
          <w:rFonts w:ascii="Times New Roman" w:hAnsi="Times New Roman"/>
          <w:b w:val="false"/>
          <w:i w:val="false"/>
          <w:color w:val="000000"/>
          <w:sz w:val="22"/>
        </w:rPr>
        <w:t>is a rate within the pay grade that is greater than the minimum rate of the pay grade for a specific classification as provided for in the approved pay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 pay”</w:t>
      </w:r>
      <w:r>
        <w:rPr>
          <w:rFonts w:ascii="Times New Roman" w:hAnsi="Times New Roman"/>
          <w:b w:val="false"/>
          <w:i w:val="false"/>
          <w:color w:val="000000"/>
          <w:sz w:val="22"/>
        </w:rPr>
        <w:t> </w:t>
      </w:r>
      <w:r>
        <w:rPr>
          <w:rFonts w:ascii="Times New Roman" w:hAnsi="Times New Roman"/>
          <w:b w:val="false"/>
          <w:i w:val="false"/>
          <w:color w:val="000000"/>
          <w:sz w:val="22"/>
        </w:rPr>
        <w:t>means the employee’s rate of pay exclusive of any supplemental pay, such as lead worker pay, pay for differentials, pay for special assignment, on-call pay, call back pay, or any other incentive premium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means the referral of qualified applicants from an eligibility register to a department for the purpose of making a selection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“Classification”</w:t>
      </w:r>
      <w:r>
        <w:rPr>
          <w:rFonts w:ascii="Times New Roman" w:hAnsi="Times New Roman"/>
          <w:b w:val="false"/>
          <w:i w:val="false"/>
          <w:color w:val="000000"/>
          <w:sz w:val="22"/>
        </w:rPr>
        <w:t> </w:t>
      </w:r>
      <w:r>
        <w:rPr>
          <w:rFonts w:ascii="Times New Roman" w:hAnsi="Times New Roman"/>
          <w:b w:val="false"/>
          <w:i w:val="false"/>
          <w:color w:val="000000"/>
          <w:sz w:val="22"/>
        </w:rPr>
        <w:t>refers to one or more positions that have similar duties and responsibilities. These positions in the group can be given the same job title and require the same minimum qualifications as to education and experience. The same schedule of pay can be applied with equity to all positions in the classification under substantially the same employment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“Classification appeal”</w:t>
      </w:r>
      <w:r>
        <w:rPr>
          <w:rFonts w:ascii="Times New Roman" w:hAnsi="Times New Roman"/>
          <w:b w:val="false"/>
          <w:i w:val="false"/>
          <w:color w:val="000000"/>
          <w:sz w:val="22"/>
        </w:rPr>
        <w:t> </w:t>
      </w:r>
      <w:r>
        <w:rPr>
          <w:rFonts w:ascii="Times New Roman" w:hAnsi="Times New Roman"/>
          <w:b w:val="false"/>
          <w:i w:val="false"/>
          <w:color w:val="000000"/>
          <w:sz w:val="22"/>
        </w:rPr>
        <w:t>is the act of contesting the classification or reclassification of a position as determined by the merit system director after a review of the duties and responsibilities of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“Classification review”</w:t>
      </w:r>
      <w:r>
        <w:rPr>
          <w:rFonts w:ascii="Times New Roman" w:hAnsi="Times New Roman"/>
          <w:b w:val="false"/>
          <w:i w:val="false"/>
          <w:color w:val="000000"/>
          <w:sz w:val="22"/>
        </w:rPr>
        <w:t> </w:t>
      </w:r>
      <w:r>
        <w:rPr>
          <w:rFonts w:ascii="Times New Roman" w:hAnsi="Times New Roman"/>
          <w:b w:val="false"/>
          <w:i w:val="false"/>
          <w:color w:val="000000"/>
          <w:sz w:val="22"/>
        </w:rPr>
        <w:t>is the process initiated by a permanent employee or department designee requesting review of the classification of the employee’s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“Classify”</w:t>
      </w:r>
      <w:r>
        <w:rPr>
          <w:rFonts w:ascii="Times New Roman" w:hAnsi="Times New Roman"/>
          <w:b w:val="false"/>
          <w:i w:val="false"/>
          <w:color w:val="000000"/>
          <w:sz w:val="22"/>
        </w:rPr>
        <w:t> </w:t>
      </w:r>
      <w:r>
        <w:rPr>
          <w:rFonts w:ascii="Times New Roman" w:hAnsi="Times New Roman"/>
          <w:b w:val="false"/>
          <w:i w:val="false"/>
          <w:color w:val="000000"/>
          <w:sz w:val="22"/>
        </w:rPr>
        <w:t>means to assign an appropriate classification based on the duties and responsibilities assigned to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“Days”</w:t>
      </w:r>
      <w:r>
        <w:rPr>
          <w:rFonts w:ascii="Times New Roman" w:hAnsi="Times New Roman"/>
          <w:b w:val="false"/>
          <w:i w:val="false"/>
          <w:color w:val="000000"/>
          <w:sz w:val="22"/>
        </w:rPr>
        <w:t> </w:t>
      </w:r>
      <w:r>
        <w:rPr>
          <w:rFonts w:ascii="Times New Roman" w:hAnsi="Times New Roman"/>
          <w:b w:val="false"/>
          <w:i w:val="false"/>
          <w:color w:val="000000"/>
          <w:sz w:val="22"/>
        </w:rPr>
        <w:t>means calendar days unless designated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“Demotion”</w:t>
      </w:r>
      <w:r>
        <w:rPr>
          <w:rFonts w:ascii="Times New Roman" w:hAnsi="Times New Roman"/>
          <w:b w:val="false"/>
          <w:i w:val="false"/>
          <w:color w:val="000000"/>
          <w:sz w:val="22"/>
        </w:rPr>
        <w:t> </w:t>
      </w:r>
      <w:r>
        <w:rPr>
          <w:rFonts w:ascii="Times New Roman" w:hAnsi="Times New Roman"/>
          <w:b w:val="false"/>
          <w:i w:val="false"/>
          <w:color w:val="000000"/>
          <w:sz w:val="22"/>
        </w:rPr>
        <w:t>means a change of an employee from a position in one classification to a position in another classification having a lower pay grade. Demotion may be voluntary, involuntary, or result from a reclassification of a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“employing department”</w:t>
      </w:r>
      <w:r>
        <w:rPr>
          <w:rFonts w:ascii="Times New Roman" w:hAnsi="Times New Roman"/>
          <w:b w:val="false"/>
          <w:i w:val="false"/>
          <w:color w:val="000000"/>
          <w:sz w:val="22"/>
        </w:rPr>
        <w:t> </w:t>
      </w:r>
      <w:r>
        <w:rPr>
          <w:rFonts w:ascii="Times New Roman" w:hAnsi="Times New Roman"/>
          <w:b w:val="false"/>
          <w:i w:val="false"/>
          <w:color w:val="000000"/>
          <w:sz w:val="22"/>
        </w:rPr>
        <w:t>is a unit or division within a regents institution defined locally by each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“Designee”</w:t>
      </w:r>
      <w:r>
        <w:rPr>
          <w:rFonts w:ascii="Times New Roman" w:hAnsi="Times New Roman"/>
          <w:b w:val="false"/>
          <w:i w:val="false"/>
          <w:color w:val="000000"/>
          <w:sz w:val="22"/>
        </w:rPr>
        <w:t> </w:t>
      </w:r>
      <w:r>
        <w:rPr>
          <w:rFonts w:ascii="Times New Roman" w:hAnsi="Times New Roman"/>
          <w:b w:val="false"/>
          <w:i w:val="false"/>
          <w:color w:val="000000"/>
          <w:sz w:val="22"/>
        </w:rPr>
        <w:t>is an individual who has been selected to act on behalf of a designated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“Grievance”</w:t>
      </w:r>
      <w:r>
        <w:rPr>
          <w:rFonts w:ascii="Times New Roman" w:hAnsi="Times New Roman"/>
          <w:b w:val="false"/>
          <w:i w:val="false"/>
          <w:color w:val="000000"/>
          <w:sz w:val="22"/>
        </w:rPr>
        <w:t> </w:t>
      </w:r>
      <w:r>
        <w:rPr>
          <w:rFonts w:ascii="Times New Roman" w:hAnsi="Times New Roman"/>
          <w:b w:val="false"/>
          <w:i w:val="false"/>
          <w:color w:val="000000"/>
          <w:sz w:val="22"/>
        </w:rPr>
        <w:t>is a dispute or complaint concerning the interpretation or application of merit system or institutional rules governing terms of employment and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“Lateral transfer”</w:t>
      </w:r>
      <w:r>
        <w:rPr>
          <w:rFonts w:ascii="Times New Roman" w:hAnsi="Times New Roman"/>
          <w:b w:val="false"/>
          <w:i w:val="false"/>
          <w:color w:val="000000"/>
          <w:sz w:val="22"/>
        </w:rPr>
        <w:t> </w:t>
      </w:r>
      <w:r>
        <w:rPr>
          <w:rFonts w:ascii="Times New Roman" w:hAnsi="Times New Roman"/>
          <w:b w:val="false"/>
          <w:i w:val="false"/>
          <w:color w:val="000000"/>
          <w:sz w:val="22"/>
        </w:rPr>
        <w:t>means a change from a position in one classification to a different position in the same classification or to another classification in the same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rate”</w:t>
      </w:r>
      <w:r>
        <w:rPr>
          <w:rFonts w:ascii="Times New Roman" w:hAnsi="Times New Roman"/>
          <w:b w:val="false"/>
          <w:i w:val="false"/>
          <w:color w:val="000000"/>
          <w:sz w:val="22"/>
        </w:rPr>
        <w:t> </w:t>
      </w:r>
      <w:r>
        <w:rPr>
          <w:rFonts w:ascii="Times New Roman" w:hAnsi="Times New Roman"/>
          <w:b w:val="false"/>
          <w:i w:val="false"/>
          <w:color w:val="000000"/>
          <w:sz w:val="22"/>
        </w:rPr>
        <w:t>is the final value of the pay grade to which a classification is assigned. A “red-circled” rate is above the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“Merit increase”</w:t>
      </w:r>
      <w:r>
        <w:rPr>
          <w:rFonts w:ascii="Times New Roman" w:hAnsi="Times New Roman"/>
          <w:b w:val="false"/>
          <w:i w:val="false"/>
          <w:color w:val="000000"/>
          <w:sz w:val="22"/>
        </w:rPr>
        <w:t> </w:t>
      </w:r>
      <w:r>
        <w:rPr>
          <w:rFonts w:ascii="Times New Roman" w:hAnsi="Times New Roman"/>
          <w:b w:val="false"/>
          <w:i w:val="false"/>
          <w:color w:val="000000"/>
          <w:sz w:val="22"/>
        </w:rPr>
        <w:t>is the increment within the pay grade, as established by the board, by which an employee’s pay will be raised at specified times during employment, subject to a satisfactory level of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“Merit system director”</w:t>
      </w:r>
      <w:r>
        <w:rPr>
          <w:rFonts w:ascii="Times New Roman" w:hAnsi="Times New Roman"/>
          <w:b w:val="false"/>
          <w:i w:val="false"/>
          <w:color w:val="000000"/>
          <w:sz w:val="22"/>
        </w:rPr>
        <w:t> </w:t>
      </w:r>
      <w:r>
        <w:rPr>
          <w:rFonts w:ascii="Times New Roman" w:hAnsi="Times New Roman"/>
          <w:b w:val="false"/>
          <w:i w:val="false"/>
          <w:color w:val="000000"/>
          <w:sz w:val="22"/>
        </w:rPr>
        <w:t>is the person appointed by the executive director of the board to administer the merit system rules on behalf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“Minimum rate”</w:t>
      </w:r>
      <w:r>
        <w:rPr>
          <w:rFonts w:ascii="Times New Roman" w:hAnsi="Times New Roman"/>
          <w:b w:val="false"/>
          <w:i w:val="false"/>
          <w:color w:val="000000"/>
          <w:sz w:val="22"/>
        </w:rPr>
        <w:t> </w:t>
      </w:r>
      <w:r>
        <w:rPr>
          <w:rFonts w:ascii="Times New Roman" w:hAnsi="Times New Roman"/>
          <w:b w:val="false"/>
          <w:i w:val="false"/>
          <w:color w:val="000000"/>
          <w:sz w:val="22"/>
        </w:rPr>
        <w:t>is the minimum value of the pay grade to which a classification is assigned. It is less than an “advanced starting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“Pay grade”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“grade”</w:t>
      </w:r>
      <w:r>
        <w:rPr>
          <w:rFonts w:ascii="Times New Roman" w:hAnsi="Times New Roman"/>
          <w:b w:val="false"/>
          <w:i w:val="false"/>
          <w:color w:val="000000"/>
          <w:sz w:val="22"/>
        </w:rPr>
        <w:t> </w:t>
      </w:r>
      <w:r>
        <w:rPr>
          <w:rFonts w:ascii="Times New Roman" w:hAnsi="Times New Roman"/>
          <w:b w:val="false"/>
          <w:i w:val="false"/>
          <w:color w:val="000000"/>
          <w:sz w:val="22"/>
        </w:rPr>
        <w:t>is the numerical designation on the pay schedule to which individual classifications are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employee”</w:t>
      </w:r>
      <w:r>
        <w:rPr>
          <w:rFonts w:ascii="Times New Roman" w:hAnsi="Times New Roman"/>
          <w:b w:val="false"/>
          <w:i w:val="false"/>
          <w:color w:val="000000"/>
          <w:sz w:val="22"/>
        </w:rPr>
        <w:t> </w:t>
      </w:r>
      <w:r>
        <w:rPr>
          <w:rFonts w:ascii="Times New Roman" w:hAnsi="Times New Roman"/>
          <w:b w:val="false"/>
          <w:i w:val="false"/>
          <w:color w:val="000000"/>
          <w:sz w:val="22"/>
        </w:rPr>
        <w:t>is an employee who has completed the initial probationary period and thereby acquired permanent status in accordance with the rules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“Position”</w:t>
      </w:r>
      <w:r>
        <w:rPr>
          <w:rFonts w:ascii="Times New Roman" w:hAnsi="Times New Roman"/>
          <w:b w:val="false"/>
          <w:i w:val="false"/>
          <w:color w:val="000000"/>
          <w:sz w:val="22"/>
        </w:rPr>
        <w:t> </w:t>
      </w:r>
      <w:r>
        <w:rPr>
          <w:rFonts w:ascii="Times New Roman" w:hAnsi="Times New Roman"/>
          <w:b w:val="false"/>
          <w:i w:val="false"/>
          <w:color w:val="000000"/>
          <w:sz w:val="22"/>
        </w:rPr>
        <w:t>means a group of specific duties, tasks and responsibilities assigned to be performed by one employee. A position may be 12 months or less, full-time or part-time, temporary or permanent, or occupied or vacant.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“Premium pay”</w:t>
      </w:r>
      <w:r>
        <w:rPr>
          <w:rFonts w:ascii="Times New Roman" w:hAnsi="Times New Roman"/>
          <w:b w:val="false"/>
          <w:i w:val="false"/>
          <w:color w:val="000000"/>
          <w:sz w:val="22"/>
        </w:rPr>
        <w:t> </w:t>
      </w:r>
      <w:r>
        <w:rPr>
          <w:rFonts w:ascii="Times New Roman" w:hAnsi="Times New Roman"/>
          <w:b w:val="false"/>
          <w:i w:val="false"/>
          <w:color w:val="000000"/>
          <w:sz w:val="22"/>
        </w:rPr>
        <w:t>means a sum of money paid for specific work in addition to the salary or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“Probationary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is a six-month period to determine an employee’s fitness for the position. A probationary period is required for an original appointment or reemployment to a classification not previously held, a promotion, a voluntary demotion out of series or a lateral transfer out of classification. Employees hired on term appointments, as described in rule </w:t>
      </w:r>
      <w:hyperlink r:id="rId6">
        <w:r>
          <w:rPr>
            <w:rStyle w:val="Hyperlink"/>
            <w:rFonts w:ascii="Times New Roman" w:hAnsi="Times New Roman"/>
            <w:b w:val="false"/>
            <w:i w:val="false"/>
            <w:color w:val="000000"/>
            <w:sz w:val="22"/>
          </w:rPr>
          <w:t>681—3.16</w:t>
        </w:r>
      </w:hyperlink>
      <w:r>
        <w:rPr>
          <w:rFonts w:ascii="Times New Roman" w:hAnsi="Times New Roman"/>
          <w:b w:val="false"/>
          <w:i w:val="false"/>
          <w:color w:val="000000"/>
          <w:sz w:val="22"/>
        </w:rPr>
        <w:t>(8A), are also subject to a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“Promotion”</w:t>
      </w:r>
      <w:r>
        <w:rPr>
          <w:rFonts w:ascii="Times New Roman" w:hAnsi="Times New Roman"/>
          <w:b w:val="false"/>
          <w:i w:val="false"/>
          <w:color w:val="000000"/>
          <w:sz w:val="22"/>
        </w:rPr>
        <w:t> </w:t>
      </w:r>
      <w:r>
        <w:rPr>
          <w:rFonts w:ascii="Times New Roman" w:hAnsi="Times New Roman"/>
          <w:b w:val="false"/>
          <w:i w:val="false"/>
          <w:color w:val="000000"/>
          <w:sz w:val="22"/>
        </w:rPr>
        <w:t>means a change in status of a permanent classified employee from a position in a classification to another position in a classification having a higher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“Recall”</w:t>
      </w:r>
      <w:r>
        <w:rPr>
          <w:rFonts w:ascii="Times New Roman" w:hAnsi="Times New Roman"/>
          <w:b w:val="false"/>
          <w:i w:val="false"/>
          <w:color w:val="000000"/>
          <w:sz w:val="22"/>
        </w:rPr>
        <w:t> </w:t>
      </w:r>
      <w:r>
        <w:rPr>
          <w:rFonts w:ascii="Times New Roman" w:hAnsi="Times New Roman"/>
          <w:b w:val="false"/>
          <w:i w:val="false"/>
          <w:color w:val="000000"/>
          <w:sz w:val="22"/>
        </w:rPr>
        <w:t>is the reappointment of an employee who was terminated as a result of (1) layoff or voluntary demotion in lieu of layoff, or (2) medically related disability leave and exhaustion of vacation and medically related disability leave credits, or (3) failure to pass a subsequent probationary period on a promotion, lateral transfer out of classification, or demotion out of series. “Reemployment” may be used in place of “recall.”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“Reclassify”</w:t>
      </w:r>
      <w:r>
        <w:rPr>
          <w:rFonts w:ascii="Times New Roman" w:hAnsi="Times New Roman"/>
          <w:b w:val="false"/>
          <w:i w:val="false"/>
          <w:color w:val="000000"/>
          <w:sz w:val="22"/>
        </w:rPr>
        <w:t> </w:t>
      </w:r>
      <w:r>
        <w:rPr>
          <w:rFonts w:ascii="Times New Roman" w:hAnsi="Times New Roman"/>
          <w:b w:val="false"/>
          <w:i w:val="false"/>
          <w:color w:val="000000"/>
          <w:sz w:val="22"/>
        </w:rPr>
        <w:t>means to make a change in the classification of a position to a higher, lower, or same pay grade based on an assessment of the tasks, duties, and responsibilities of the position or because of an amendment to the assigned pay grade in the classification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“Reduction in force”</w:t>
      </w:r>
      <w:r>
        <w:rPr>
          <w:rFonts w:ascii="Times New Roman" w:hAnsi="Times New Roman"/>
          <w:b w:val="false"/>
          <w:i w:val="false"/>
          <w:color w:val="000000"/>
          <w:sz w:val="22"/>
        </w:rPr>
        <w:t> </w:t>
      </w:r>
      <w:r>
        <w:rPr>
          <w:rFonts w:ascii="Times New Roman" w:hAnsi="Times New Roman"/>
          <w:b w:val="false"/>
          <w:i w:val="false"/>
          <w:color w:val="000000"/>
          <w:sz w:val="22"/>
        </w:rPr>
        <w:t>is a permanent layoff or an involuntary reduction in time resulting from a shortage of funds or work, a material change in duties, or an organization or abolishment of one or more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refers to the appointment of merit staff who previously exited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director”</w:t>
      </w:r>
      <w:r>
        <w:rPr>
          <w:rFonts w:ascii="Times New Roman" w:hAnsi="Times New Roman"/>
          <w:b w:val="false"/>
          <w:i w:val="false"/>
          <w:color w:val="000000"/>
          <w:sz w:val="22"/>
        </w:rPr>
        <w:t> </w:t>
      </w:r>
      <w:r>
        <w:rPr>
          <w:rFonts w:ascii="Times New Roman" w:hAnsi="Times New Roman"/>
          <w:b w:val="false"/>
          <w:i w:val="false"/>
          <w:color w:val="000000"/>
          <w:sz w:val="22"/>
        </w:rPr>
        <w:t>is the person appointed by the chief executive of each regents institution to administer the merit system rules at that institution. The resident director may appoint designees authorized to administer the merit system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“Suspension”</w:t>
      </w:r>
      <w:r>
        <w:rPr>
          <w:rFonts w:ascii="Times New Roman" w:hAnsi="Times New Roman"/>
          <w:b w:val="false"/>
          <w:i w:val="false"/>
          <w:color w:val="000000"/>
          <w:sz w:val="22"/>
        </w:rPr>
        <w:t> </w:t>
      </w:r>
      <w:r>
        <w:rPr>
          <w:rFonts w:ascii="Times New Roman" w:hAnsi="Times New Roman"/>
          <w:b w:val="false"/>
          <w:i w:val="false"/>
          <w:color w:val="000000"/>
          <w:sz w:val="22"/>
        </w:rPr>
        <w:t>is an enforced leave of absence with or without pay for purposes of conducting an investigation or as a disciplinary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“Trainee”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“apprentice”</w:t>
      </w:r>
      <w:r>
        <w:rPr>
          <w:rFonts w:ascii="Times New Roman" w:hAnsi="Times New Roman"/>
          <w:b w:val="false"/>
          <w:i w:val="false"/>
          <w:color w:val="000000"/>
          <w:sz w:val="22"/>
        </w:rPr>
        <w:t> </w:t>
      </w:r>
      <w:r>
        <w:rPr>
          <w:rFonts w:ascii="Times New Roman" w:hAnsi="Times New Roman"/>
          <w:b w:val="false"/>
          <w:i w:val="false"/>
          <w:color w:val="000000"/>
          <w:sz w:val="22"/>
        </w:rPr>
        <w:t>is an employee participating in a specified training program during a fixed period of time in order to meet the minimum qualifications required for a 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CLASSIFICATION</w:t>
      </w:r>
    </w:p>
    <w:p>
      <w:pPr>
        <w:spacing w:before="0" w:after="0"/>
        <w:ind w:left="120"/>
        <w:jc w:val="both"/>
      </w:pPr>
      <w:r>
        <w:rPr>
          <w:rFonts w:ascii="Times New Roman" w:hAnsi="Times New Roman"/>
          <w:b/>
          <w:i w:val="false"/>
          <w:color w:val="000000"/>
          <w:sz w:val="22"/>
        </w:rPr>
        <w:t>681—3.4</w:t>
      </w:r>
      <w:r>
        <w:rPr>
          <w:rFonts w:ascii="Times New Roman" w:hAnsi="Times New Roman"/>
          <w:b/>
          <w:i w:val="false"/>
          <w:color w:val="000000"/>
          <w:sz w:val="22"/>
        </w:rPr>
        <w:t xml:space="preserve">(8A) </w:t>
      </w:r>
      <w:r>
        <w:rPr>
          <w:rFonts w:ascii="Times New Roman" w:hAnsi="Times New Roman"/>
          <w:b/>
          <w:i w:val="false"/>
          <w:color w:val="000000"/>
          <w:sz w:val="22"/>
        </w:rPr>
        <w:t xml:space="preserve">Preparation and maintenance of the classification plan. </w:t>
      </w:r>
      <w:r>
        <w:rPr>
          <w:rFonts w:ascii="Times New Roman" w:hAnsi="Times New Roman"/>
          <w:b w:val="false"/>
          <w:i w:val="false"/>
          <w:color w:val="000000"/>
          <w:sz w:val="22"/>
        </w:rPr>
        <w:t>The merit system director, in consultation with the resident directors and subject to the approval of the board, shall develop and maintain a classification plan. This plan will ensure that all positions with similar duties, responsibilities, and levels of difficulty are included in the same class. Each class will have the same minimum qualifications and an equitable pay schedule (except for geographical differences). The plan will include a class title; job definition; descriptions of the work performed; required knowledge, skills, and abilities; and the minimum qualifications for each class.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681—3.5</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of the classification plan. </w:t>
      </w:r>
      <w:r>
        <w:rPr>
          <w:rFonts w:ascii="Times New Roman" w:hAnsi="Times New Roman"/>
          <w:b w:val="false"/>
          <w:i w:val="false"/>
          <w:color w:val="000000"/>
          <w:sz w:val="22"/>
        </w:rPr>
        <w:t xml:space="preserve">The merit system director will direct the uniform administration of the classification plan. Resident directors may recommend new classifications and changes to existing classifications. Employing departments and employees may appeal classification and reclassification in accordance with rule </w:t>
      </w:r>
      <w:hyperlink r:id="rId7">
        <w:r>
          <w:rPr>
            <w:rStyle w:val="Hyperlink"/>
            <w:rFonts w:ascii="Times New Roman" w:hAnsi="Times New Roman"/>
            <w:b w:val="false"/>
            <w:i w:val="false"/>
            <w:color w:val="000000"/>
            <w:sz w:val="22"/>
          </w:rPr>
          <w:t>681—3.24</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The merit system director, in consultation with the resident directors and subject to the approval of the board, may establish new classifications and change or abolish existing classifications that affect the merit system pay plan to meet the needs of the institutions and to properly reflect changes in work. When the changes do not affect the pay plan of the merit system, the merit system director may, in consultation with the resident directors, change existing classifications and report such changes annually to the board. When the classification of a position is changed, the incumbent will be entitled to continue service in the position provided the incumbent meets the minimum qualifications or provided the duties have not changed appreciably. If the incumbent is not eligible to continue, the incumbent may be transferred, promoted, demoted, or laid off in accordance with the rules. Changes in classification will not be used to avoid other provisions of these rules relating to layoffs, promotions, demotions, and dismissal.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COMPENSATION PLAN</w:t>
      </w:r>
    </w:p>
    <w:p>
      <w:pPr>
        <w:spacing w:before="0" w:after="0"/>
        <w:ind w:left="120"/>
        <w:jc w:val="both"/>
      </w:pPr>
      <w:r>
        <w:rPr>
          <w:rFonts w:ascii="Times New Roman" w:hAnsi="Times New Roman"/>
          <w:b/>
          <w:i w:val="false"/>
          <w:color w:val="000000"/>
          <w:sz w:val="22"/>
        </w:rPr>
        <w:t>681—3.6</w:t>
      </w:r>
      <w:r>
        <w:rPr>
          <w:rFonts w:ascii="Times New Roman" w:hAnsi="Times New Roman"/>
          <w:b/>
          <w:i w:val="false"/>
          <w:color w:val="000000"/>
          <w:sz w:val="22"/>
        </w:rPr>
        <w:t xml:space="preserve">(8A) </w:t>
      </w:r>
      <w:r>
        <w:rPr>
          <w:rFonts w:ascii="Times New Roman" w:hAnsi="Times New Roman"/>
          <w:b/>
          <w:i w:val="false"/>
          <w:color w:val="000000"/>
          <w:sz w:val="22"/>
        </w:rPr>
        <w:t xml:space="preserve">Preparation, content and adoption of the pay plan. </w:t>
      </w:r>
      <w:r>
        <w:rPr>
          <w:rFonts w:ascii="Times New Roman" w:hAnsi="Times New Roman"/>
          <w:b w:val="false"/>
          <w:i w:val="false"/>
          <w:color w:val="000000"/>
          <w:sz w:val="22"/>
        </w:rPr>
        <w:t>The board will adopt a pay plan for all the classes established in the classification plan. The pay plan will consist of numbered grades with minimums and maximums for each grade. The plan is intended to reflect the relative difficulty and responsibility of the work involved in the various classes. This relative difficulty and responsibility of work, in addition to market data that is pertinent to the labor market, will be utilized to assign classifications to pay grades. Market data sources and their application will be approved and administered under the direction of the merit system director. The plan will be uniformly applicable to all regents institutions, except for variances approved on the basis of geographical differences.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681—3.7</w:t>
      </w:r>
      <w:r>
        <w:rPr>
          <w:rFonts w:ascii="Times New Roman" w:hAnsi="Times New Roman"/>
          <w:b/>
          <w:i w:val="false"/>
          <w:color w:val="000000"/>
          <w:sz w:val="22"/>
        </w:rPr>
        <w:t xml:space="preserve">(8A) </w:t>
      </w:r>
      <w:r>
        <w:rPr>
          <w:rFonts w:ascii="Times New Roman" w:hAnsi="Times New Roman"/>
          <w:b/>
          <w:i w:val="false"/>
          <w:color w:val="000000"/>
          <w:sz w:val="22"/>
        </w:rPr>
        <w:t xml:space="preserve">Review and revision of the pay plan. </w:t>
      </w:r>
      <w:r>
        <w:rPr>
          <w:rFonts w:ascii="Times New Roman" w:hAnsi="Times New Roman"/>
          <w:b w:val="false"/>
          <w:i w:val="false"/>
          <w:color w:val="000000"/>
          <w:sz w:val="22"/>
        </w:rPr>
        <w:t xml:space="preserve">At least once each year, the complete pay plan will be reviewed for revision by the board in the same manner and following the same procedure stated in rule </w:t>
      </w:r>
      <w:hyperlink r:id="rId8">
        <w:r>
          <w:rPr>
            <w:rStyle w:val="Hyperlink"/>
            <w:rFonts w:ascii="Times New Roman" w:hAnsi="Times New Roman"/>
            <w:b w:val="false"/>
            <w:i w:val="false"/>
            <w:color w:val="000000"/>
            <w:sz w:val="22"/>
          </w:rPr>
          <w:t>681—3.6</w:t>
        </w:r>
      </w:hyperlink>
      <w:r>
        <w:rPr>
          <w:rFonts w:ascii="Times New Roman" w:hAnsi="Times New Roman"/>
          <w:b w:val="false"/>
          <w:i w:val="false"/>
          <w:color w:val="000000"/>
          <w:sz w:val="22"/>
        </w:rPr>
        <w:t>(8A). At any time, new classes may be established and other revisions may be made in the plan to reflect proper relationships and to facilitate recruitment and retention. Such changes will be effective after approval by the board and other authority as required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681—3.8</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of the pay plan. </w:t>
      </w:r>
      <w:r>
        <w:rPr>
          <w:rFonts w:ascii="Times New Roman" w:hAnsi="Times New Roman"/>
          <w:b w:val="false"/>
          <w:i w:val="false"/>
          <w:color w:val="000000"/>
          <w:sz w:val="22"/>
        </w:rPr>
        <w:t>Within the provisions of these rules, the pay plan will be uniformly administered by the resident directors under the direction of the merit system director for all classifications in the system. Except as otherwise provided in these rules and in the pay plan, all employees will be paid between the minimum and maximum of the pay grade to which the employee’s classification is assigned. Any employee who is approved for participation in a phased retirement program as provided for by state law and regent policy shall have the salary provided under these rules adjusted as specified by such law and regent policy. In instances where more than one rule for pay is applicable, the resident director may apply the rule that is most appropriate for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color w:val="000000"/>
          <w:sz w:val="22"/>
        </w:rPr>
        <w:t xml:space="preserve">Entrance salaries. </w:t>
      </w:r>
      <w:r>
        <w:rPr>
          <w:rFonts w:ascii="Times New Roman" w:hAnsi="Times New Roman"/>
          <w:b w:val="false"/>
          <w:i w:val="false"/>
          <w:color w:val="000000"/>
          <w:sz w:val="22"/>
        </w:rPr>
        <w:t>The entrance salary for an employee in any position under this system will be the minimum salary of the pay grade to which that classification is assigned or in accordance with the approved pay plan, except as provided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Appointment based on a scarcity of qualified applicants. </w:t>
      </w:r>
      <w:r>
        <w:rPr>
          <w:rFonts w:ascii="Times New Roman" w:hAnsi="Times New Roman"/>
          <w:b w:val="false"/>
          <w:i w:val="false"/>
          <w:color w:val="000000"/>
          <w:sz w:val="22"/>
        </w:rPr>
        <w:t>At the request of a resident director and based on economic or employment conditions that make it difficult to recruit at the minimum rate of the pay grade to which a classification of position is assigned, the merit system director may authorize an advanced starting rate. Where such a higher entrance rate is authorized, all employees in the same classification and in the same geographical area, who are earning less than the higher entrance rate, will be increased to that higher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Appointment based on exceptional qualifications. </w:t>
      </w:r>
      <w:r>
        <w:rPr>
          <w:rFonts w:ascii="Times New Roman" w:hAnsi="Times New Roman"/>
          <w:b w:val="false"/>
          <w:i w:val="false"/>
          <w:color w:val="000000"/>
          <w:sz w:val="22"/>
        </w:rPr>
        <w:t>An employee whose qualifications substantially exceed the minimum required for the classification or who possess outstanding experience relative to the demands of the position may, at the request of an employing department and upon approval by the resident director, be appointed at a rate higher than the minimum. At the request of the employing department, or at the discretion of the resident director, salaries of similarly qualified employees in the same classification with similar qualifications at the same institution may be adjusted. These appointments along with any salary adjustments made to other employees must be reported to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Appointments based on prior service at the institution. </w:t>
      </w:r>
      <w:r>
        <w:rPr>
          <w:rFonts w:ascii="Times New Roman" w:hAnsi="Times New Roman"/>
          <w:b w:val="false"/>
          <w:i w:val="false"/>
          <w:color w:val="000000"/>
          <w:sz w:val="22"/>
        </w:rPr>
        <w:t>An employee who was previously employed by an appointing institution in a nonmerit system position and who performed duties of a similar character and responsibility as the merit classification to which the employee is being appointed may be paid at a rate higher than the minimum, reflecting prior service in a comparable position. Such appointments must be approved by the resident director and reported to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Appointments from mergers and acquisitions. </w:t>
      </w:r>
      <w:r>
        <w:rPr>
          <w:rFonts w:ascii="Times New Roman" w:hAnsi="Times New Roman"/>
          <w:b w:val="false"/>
          <w:i w:val="false"/>
          <w:color w:val="000000"/>
          <w:sz w:val="22"/>
        </w:rPr>
        <w:t>An employee who is appointed at a university due to a merger or acquisition should be paid consistent with current pay practices. If the salary of an employee exceeds the maximum salary of the pay range to which the new classification is assigned, at the discretion of the employing department and with the approval of the resident director, the salary may be “red-circled” for a period not to exceed one year. The resident director may request an extension to the merit system director due to special circumstances for a designated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color w:val="000000"/>
          <w:sz w:val="22"/>
        </w:rPr>
        <w:t xml:space="preserve">Merit increases. </w:t>
      </w:r>
      <w:r>
        <w:rPr>
          <w:rFonts w:ascii="Times New Roman" w:hAnsi="Times New Roman"/>
          <w:b w:val="false"/>
          <w:i w:val="false"/>
          <w:color w:val="000000"/>
          <w:sz w:val="22"/>
        </w:rPr>
        <w:t>An employee with satisfactory performance shall be eligible to receive a merit increase upon completion of the employee’s increased eligibility period. The eligibility period shall be 12 months from the merit review date. Merit review date practices shall be established by the resident director at each institution. The resident director may allow for a merit review date at six months from the date of hire for an employee who is appointed and paid at the minimum rate for the employee’s assigned pay grade. Failure to conduct a performance review shall result in the employee being deemed to have performed satisfactorily during this period. No merit increase will be granted above the maximum of the pay grade. Merit increases may be denied or deferred by the employing department based on work performance. An employee whose merit increases are denied or deferred may request additional information from the department regarding the rationale.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color w:val="000000"/>
          <w:sz w:val="22"/>
        </w:rPr>
        <w:t xml:space="preserve">Pay on promotion. </w:t>
      </w:r>
      <w:r>
        <w:rPr>
          <w:rFonts w:ascii="Times New Roman" w:hAnsi="Times New Roman"/>
          <w:b w:val="false"/>
          <w:i w:val="false"/>
          <w:color w:val="000000"/>
          <w:sz w:val="22"/>
        </w:rPr>
        <w:t>An employee who is promoted will be moved to the minimum rate of the new grade or to an equal or higher rate in the new grade that is no greater than 5 percent higher than the employee’s current base pay without approval of the merit system director. In no event will the adjustment result in pay above the maximum of the new grade.</w:t>
      </w:r>
    </w:p>
    <w:p>
      <w:pPr>
        <w:spacing w:before="0" w:after="0"/>
        <w:ind w:left="120"/>
        <w:jc w:val="both"/>
      </w:pPr>
      <w:r>
        <w:rPr>
          <w:rFonts w:ascii="Times New Roman" w:hAnsi="Times New Roman"/>
          <w:b w:val="false"/>
          <w:i w:val="false"/>
          <w:color w:val="000000"/>
          <w:sz w:val="22"/>
        </w:rPr>
        <w:t>If the promotion involves movement to a new grade that is three or more grades higher than the employee’s present grade, the resident director may approve, on written request from the employing department, an increase to the employee’s present base pay of no greater than 10 percent without the approval of the merit system director.</w:t>
      </w:r>
    </w:p>
    <w:p>
      <w:pPr>
        <w:spacing w:before="0" w:after="0"/>
        <w:ind w:left="120"/>
        <w:jc w:val="both"/>
      </w:pPr>
      <w:r>
        <w:rPr>
          <w:rFonts w:ascii="Times New Roman" w:hAnsi="Times New Roman"/>
          <w:b w:val="false"/>
          <w:i w:val="false"/>
          <w:color w:val="000000"/>
          <w:sz w:val="22"/>
        </w:rPr>
        <w:t xml:space="preserve">When calculating the promotional increase, any extra pay such as shift differential pay, pay for special assignment, pay for lead worker status, on-call pay, pay for overtime, or pay for call back shall be excluded as part of the employee’s present base pay. Pay on promotion in accordance with the provisions of paragraph </w:t>
      </w:r>
      <w:hyperlink r:id="rId9">
        <w:r>
          <w:rPr>
            <w:rStyle w:val="Hyperlink"/>
            <w:rFonts w:ascii="Times New Roman" w:hAnsi="Times New Roman"/>
            <w:b w:val="false"/>
            <w:i w:val="false"/>
            <w:color w:val="000000"/>
            <w:sz w:val="22"/>
          </w:rPr>
          <w:t>3.8(1)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 authorized by a resident director and will be reported to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w:t>
      </w:r>
      <w:r>
        <w:rPr>
          <w:rFonts w:ascii="Times New Roman" w:hAnsi="Times New Roman"/>
          <w:b w:val="false"/>
          <w:i w:val="false"/>
          <w:color w:val="000000"/>
          <w:sz w:val="22"/>
        </w:rPr>
        <w:t> </w:t>
      </w:r>
      <w:r>
        <w:rPr>
          <w:rFonts w:ascii="Times New Roman" w:hAnsi="Times New Roman"/>
          <w:b w:val="false"/>
          <w:i/>
          <w:color w:val="000000"/>
          <w:sz w:val="22"/>
        </w:rPr>
        <w:t xml:space="preserve">Pay on demotion. </w:t>
      </w:r>
      <w:r>
        <w:rPr>
          <w:rFonts w:ascii="Times New Roman" w:hAnsi="Times New Roman"/>
          <w:b w:val="false"/>
          <w:i w:val="false"/>
          <w:color w:val="000000"/>
          <w:sz w:val="22"/>
        </w:rPr>
        <w:t xml:space="preserve">Upon recommendation by the department head, and with the prior approval of the resident director, the pay of an employee who is demoted will be set at any rate within the new pay grade that does not exceed the rate at which the employee was paid in the position from which the employee was demoted, except as provided in paragraph </w:t>
      </w:r>
      <w:hyperlink r:id="rId10">
        <w:r>
          <w:rPr>
            <w:rStyle w:val="Hyperlink"/>
            <w:rFonts w:ascii="Times New Roman" w:hAnsi="Times New Roman"/>
            <w:b w:val="false"/>
            <w:i w:val="false"/>
            <w:color w:val="000000"/>
            <w:sz w:val="22"/>
          </w:rPr>
          <w:t>3.8(1)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If the salary of an employee who is demoted as the result of the reclassification of the employee’s position exceeds the maximum salary of the pay range to which the new classification is assigned, at the discretion of the employing department and with the approval of the resident director, the salary may be “red-circled” for a period not to exceed one year. The resident director may request an extension to the merit system director due to special circumstances for a designated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w:t>
      </w:r>
      <w:r>
        <w:rPr>
          <w:rFonts w:ascii="Times New Roman" w:hAnsi="Times New Roman"/>
          <w:b w:val="false"/>
          <w:i w:val="false"/>
          <w:color w:val="000000"/>
          <w:sz w:val="22"/>
        </w:rPr>
        <w:t> </w:t>
      </w:r>
      <w:r>
        <w:rPr>
          <w:rFonts w:ascii="Times New Roman" w:hAnsi="Times New Roman"/>
          <w:b w:val="false"/>
          <w:i/>
          <w:color w:val="000000"/>
          <w:sz w:val="22"/>
        </w:rPr>
        <w:t xml:space="preserve">Pay on reinstatement, recall or return from leave.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who is reinstated will be paid at a rate no greater than what the employee was last paid, plus any across-the-board increases that would have occurred during the time of nonemployment, and between the minimum and maximum of the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employee who is recalled to the previously occupied class will be paid at a rate no greater than what the employee was last paid, plus any across-the-board increases that would have occurred during the time of nonemployment, and between the minimum and maximum of the pay grade. Reemployment to the previously occupied class from a position taken as a voluntary demotion in lieu of layoff will not be considered a promotion.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who is reappointed to the previously occupied position or a position in the same class on conclusion of a leave without pay will be paid in accordance with the provisions concerning pay on recall as provided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w:t>
      </w:r>
      <w:r>
        <w:rPr>
          <w:rFonts w:ascii="Times New Roman" w:hAnsi="Times New Roman"/>
          <w:b w:val="false"/>
          <w:i w:val="false"/>
          <w:color w:val="000000"/>
          <w:sz w:val="22"/>
        </w:rPr>
        <w:t> </w:t>
      </w:r>
      <w:r>
        <w:rPr>
          <w:rFonts w:ascii="Times New Roman" w:hAnsi="Times New Roman"/>
          <w:b w:val="false"/>
          <w:i/>
          <w:color w:val="000000"/>
          <w:sz w:val="22"/>
        </w:rPr>
        <w:t xml:space="preserve">Pay for special assignment. </w:t>
      </w:r>
      <w:r>
        <w:rPr>
          <w:rFonts w:ascii="Times New Roman" w:hAnsi="Times New Roman"/>
          <w:b w:val="false"/>
          <w:i w:val="false"/>
          <w:color w:val="000000"/>
          <w:sz w:val="22"/>
        </w:rPr>
        <w:t xml:space="preserve">Provided an employee is granted special assignment in accordance with subrule </w:t>
      </w:r>
      <w:hyperlink r:id="rId11">
        <w:r>
          <w:rPr>
            <w:rStyle w:val="Hyperlink"/>
            <w:rFonts w:ascii="Times New Roman" w:hAnsi="Times New Roman"/>
            <w:b w:val="false"/>
            <w:i w:val="false"/>
            <w:color w:val="000000"/>
            <w:sz w:val="22"/>
          </w:rPr>
          <w:t>3.19(2)</w:t>
        </w:r>
      </w:hyperlink>
      <w:r>
        <w:rPr>
          <w:rFonts w:ascii="Times New Roman" w:hAnsi="Times New Roman"/>
          <w:b w:val="false"/>
          <w:i w:val="false"/>
          <w:color w:val="000000"/>
          <w:sz w:val="22"/>
        </w:rPr>
        <w:t>, the employee will be paid for the duration of such assignment consistent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12">
        <w:r>
          <w:rPr>
            <w:rStyle w:val="Hyperlink"/>
            <w:rFonts w:ascii="Times New Roman" w:hAnsi="Times New Roman"/>
            <w:b w:val="false"/>
            <w:i w:val="false"/>
            <w:color w:val="000000"/>
            <w:sz w:val="22"/>
          </w:rPr>
          <w:t>3.8(3)</w:t>
        </w:r>
      </w:hyperlink>
      <w:r>
        <w:rPr>
          <w:rFonts w:ascii="Times New Roman" w:hAnsi="Times New Roman"/>
          <w:b w:val="false"/>
          <w:i w:val="false"/>
          <w:color w:val="000000"/>
          <w:sz w:val="22"/>
        </w:rPr>
        <w:t>, pay on promotion, if assigned to a classification having a higher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13">
        <w:r>
          <w:rPr>
            <w:rStyle w:val="Hyperlink"/>
            <w:rFonts w:ascii="Times New Roman" w:hAnsi="Times New Roman"/>
            <w:b w:val="false"/>
            <w:i w:val="false"/>
            <w:color w:val="000000"/>
            <w:sz w:val="22"/>
          </w:rPr>
          <w:t>3.8(7)</w:t>
        </w:r>
      </w:hyperlink>
      <w:r>
        <w:rPr>
          <w:rFonts w:ascii="Times New Roman" w:hAnsi="Times New Roman"/>
          <w:b w:val="false"/>
          <w:i w:val="false"/>
          <w:color w:val="000000"/>
          <w:sz w:val="22"/>
        </w:rPr>
        <w:t>, pay on lateral transfer, if assigned to a classification having the same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present base pay if assigned to a classification having a lower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w:t>
      </w:r>
      <w:r>
        <w:rPr>
          <w:rFonts w:ascii="Times New Roman" w:hAnsi="Times New Roman"/>
          <w:b w:val="false"/>
          <w:i w:val="false"/>
          <w:color w:val="000000"/>
          <w:sz w:val="22"/>
        </w:rPr>
        <w:t> </w:t>
      </w:r>
      <w:r>
        <w:rPr>
          <w:rFonts w:ascii="Times New Roman" w:hAnsi="Times New Roman"/>
          <w:b w:val="false"/>
          <w:i/>
          <w:color w:val="000000"/>
          <w:sz w:val="22"/>
        </w:rPr>
        <w:t xml:space="preserve">Pay on lateral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who is transferred from one position to another position in the same classification shall receive no adjustment in base pay except as provided in paragraph </w:t>
      </w:r>
      <w:hyperlink r:id="rId14">
        <w:r>
          <w:rPr>
            <w:rStyle w:val="Hyperlink"/>
            <w:rFonts w:ascii="Times New Roman" w:hAnsi="Times New Roman"/>
            <w:b w:val="false"/>
            <w:i w:val="false"/>
            <w:color w:val="000000"/>
            <w:sz w:val="22"/>
          </w:rPr>
          <w:t>3.8(1)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who is transferred from one position to another position in a different classification but in the same pay grade shall receive no adjustment in base pay, except as provided in paragraph </w:t>
      </w:r>
      <w:hyperlink r:id="rId15">
        <w:r>
          <w:rPr>
            <w:rStyle w:val="Hyperlink"/>
            <w:rFonts w:ascii="Times New Roman" w:hAnsi="Times New Roman"/>
            <w:b w:val="false"/>
            <w:i w:val="false"/>
            <w:color w:val="000000"/>
            <w:sz w:val="22"/>
          </w:rPr>
          <w:t>3.8(1)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as set forth in paragraph </w:t>
      </w:r>
      <w:hyperlink r:id="rId16">
        <w:r>
          <w:rPr>
            <w:rStyle w:val="Hyperlink"/>
            <w:rFonts w:ascii="Times New Roman" w:hAnsi="Times New Roman"/>
            <w:b w:val="false"/>
            <w:i w:val="false"/>
            <w:color w:val="000000"/>
            <w:sz w:val="22"/>
          </w:rPr>
          <w:t>3.8(7)</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who is transferred from one classification with a lower or no advanced starting rate to a classification with a higher advanced starting rate shall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adjustment to the higher advanced starting rate if the base pay prior to lateral transfer is less than the higher advanced starting rate;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adjustment in base pay if the employee’s base pay prior to lateral transfer is not less than the higher advanced starting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no case may an employee be paid below the minimum or above the maximum for a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w:t>
      </w:r>
      <w:r>
        <w:rPr>
          <w:rFonts w:ascii="Times New Roman" w:hAnsi="Times New Roman"/>
          <w:b w:val="false"/>
          <w:i w:val="false"/>
          <w:color w:val="000000"/>
          <w:sz w:val="22"/>
        </w:rPr>
        <w:t> </w:t>
      </w:r>
      <w:r>
        <w:rPr>
          <w:rFonts w:ascii="Times New Roman" w:hAnsi="Times New Roman"/>
          <w:b w:val="false"/>
          <w:i/>
          <w:color w:val="000000"/>
          <w:sz w:val="22"/>
        </w:rPr>
        <w:t xml:space="preserve">Pay upon change in pay grade of class. </w:t>
      </w:r>
      <w:r>
        <w:rPr>
          <w:rFonts w:ascii="Times New Roman" w:hAnsi="Times New Roman"/>
          <w:b w:val="false"/>
          <w:i w:val="false"/>
          <w:color w:val="000000"/>
          <w:sz w:val="22"/>
        </w:rPr>
        <w:t xml:space="preserve">If the class is revised and reassigned to a higher pay grade, subrule </w:t>
      </w:r>
      <w:hyperlink r:id="rId17">
        <w:r>
          <w:rPr>
            <w:rStyle w:val="Hyperlink"/>
            <w:rFonts w:ascii="Times New Roman" w:hAnsi="Times New Roman"/>
            <w:b w:val="false"/>
            <w:i w:val="false"/>
            <w:color w:val="000000"/>
            <w:sz w:val="22"/>
          </w:rPr>
          <w:t>3.8(3)</w:t>
        </w:r>
      </w:hyperlink>
      <w:r>
        <w:rPr>
          <w:rFonts w:ascii="Times New Roman" w:hAnsi="Times New Roman"/>
          <w:b w:val="false"/>
          <w:i w:val="false"/>
          <w:color w:val="000000"/>
          <w:sz w:val="22"/>
        </w:rPr>
        <w:t>, pay on promotion, will apply.</w:t>
      </w:r>
    </w:p>
    <w:p>
      <w:pPr>
        <w:spacing w:before="0" w:after="0"/>
        <w:ind w:left="120"/>
        <w:jc w:val="both"/>
      </w:pPr>
      <w:r>
        <w:rPr>
          <w:rFonts w:ascii="Times New Roman" w:hAnsi="Times New Roman"/>
          <w:b w:val="false"/>
          <w:i w:val="false"/>
          <w:color w:val="000000"/>
          <w:sz w:val="22"/>
        </w:rPr>
        <w:t xml:space="preserve">If the class is revised and reassigned to a lower pay grade, subrule </w:t>
      </w:r>
      <w:hyperlink r:id="rId18">
        <w:r>
          <w:rPr>
            <w:rStyle w:val="Hyperlink"/>
            <w:rFonts w:ascii="Times New Roman" w:hAnsi="Times New Roman"/>
            <w:b w:val="false"/>
            <w:i w:val="false"/>
            <w:color w:val="000000"/>
            <w:sz w:val="22"/>
          </w:rPr>
          <w:t>3.8(4)</w:t>
        </w:r>
      </w:hyperlink>
      <w:r>
        <w:rPr>
          <w:rFonts w:ascii="Times New Roman" w:hAnsi="Times New Roman"/>
          <w:b w:val="false"/>
          <w:i w:val="false"/>
          <w:color w:val="000000"/>
          <w:sz w:val="22"/>
        </w:rPr>
        <w:t>, pay on demotion,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w:t>
      </w:r>
      <w:r>
        <w:rPr>
          <w:rFonts w:ascii="Times New Roman" w:hAnsi="Times New Roman"/>
          <w:b w:val="false"/>
          <w:i w:val="false"/>
          <w:color w:val="000000"/>
          <w:sz w:val="22"/>
        </w:rPr>
        <w:t> </w:t>
      </w:r>
      <w:r>
        <w:rPr>
          <w:rFonts w:ascii="Times New Roman" w:hAnsi="Times New Roman"/>
          <w:b w:val="false"/>
          <w:i/>
          <w:color w:val="000000"/>
          <w:sz w:val="22"/>
        </w:rPr>
        <w:t xml:space="preserve">Pay for part-time employment. </w:t>
      </w:r>
      <w:r>
        <w:rPr>
          <w:rFonts w:ascii="Times New Roman" w:hAnsi="Times New Roman"/>
          <w:b w:val="false"/>
          <w:i w:val="false"/>
          <w:color w:val="000000"/>
          <w:sz w:val="22"/>
        </w:rPr>
        <w:t>Pay for part-time employment will be proportionately equivalent to the rate for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w:t>
      </w:r>
      <w:r>
        <w:rPr>
          <w:rFonts w:ascii="Times New Roman" w:hAnsi="Times New Roman"/>
          <w:b w:val="false"/>
          <w:i w:val="false"/>
          <w:color w:val="000000"/>
          <w:sz w:val="22"/>
        </w:rPr>
        <w:t> </w:t>
      </w:r>
      <w:r>
        <w:rPr>
          <w:rFonts w:ascii="Times New Roman" w:hAnsi="Times New Roman"/>
          <w:b w:val="false"/>
          <w:i/>
          <w:color w:val="000000"/>
          <w:sz w:val="22"/>
        </w:rPr>
        <w:t xml:space="preserve">Pay for exceptional performance. </w:t>
      </w:r>
      <w:r>
        <w:rPr>
          <w:rFonts w:ascii="Times New Roman" w:hAnsi="Times New Roman"/>
          <w:b w:val="false"/>
          <w:i w:val="false"/>
          <w:color w:val="000000"/>
          <w:sz w:val="22"/>
        </w:rPr>
        <w:t>An employee may be given pay for exceptional performance, not to exceed 10 percent of an employee’s current annual salary, at the written request of the employee’s department head with appropriate administrative approval and the prior approval of the resident director. The request will describe the nature of the exceptional job performance for which additional pay is requested, indicate the amount proposed, and specify the source of funds. The award may be based on sustained superior performance or an exceptional achievement or contribution during the period since the employee’s last performance review. To qualify for an exceptional performance award, an employee must have a cumulative performance evaluation exceeding standards and have no individual rating below satisfactory. Payment will be made as a lump sum award and will not change the employee’s established base pay. An employee will be eligible to receive multiple rewards per fiscal year but not to cumulatively exceed 10 percent of the employee’s current annual salary.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w:t>
      </w:r>
      <w:r>
        <w:rPr>
          <w:rFonts w:ascii="Times New Roman" w:hAnsi="Times New Roman"/>
          <w:b w:val="false"/>
          <w:i w:val="false"/>
          <w:color w:val="000000"/>
          <w:sz w:val="22"/>
        </w:rPr>
        <w:t> </w:t>
      </w:r>
      <w:r>
        <w:rPr>
          <w:rFonts w:ascii="Times New Roman" w:hAnsi="Times New Roman"/>
          <w:b w:val="false"/>
          <w:i/>
          <w:color w:val="000000"/>
          <w:sz w:val="22"/>
        </w:rPr>
        <w:t xml:space="preserve">Pay for call back. </w:t>
      </w:r>
      <w:r>
        <w:rPr>
          <w:rFonts w:ascii="Times New Roman" w:hAnsi="Times New Roman"/>
          <w:b w:val="false"/>
          <w:i w:val="false"/>
          <w:color w:val="000000"/>
          <w:sz w:val="22"/>
        </w:rPr>
        <w:t>An employee who is called back to the work site after completing the employee’s regular work schedule will be paid for a minimum period of three hours, regardless of the time worked. An employee who is called back and works in excess of three hours will be paid the actual time worked.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w:t>
      </w:r>
      <w:r>
        <w:rPr>
          <w:rFonts w:ascii="Times New Roman" w:hAnsi="Times New Roman"/>
          <w:b w:val="false"/>
          <w:i w:val="false"/>
          <w:color w:val="000000"/>
          <w:sz w:val="22"/>
        </w:rPr>
        <w:t> </w:t>
      </w:r>
      <w:r>
        <w:rPr>
          <w:rFonts w:ascii="Times New Roman" w:hAnsi="Times New Roman"/>
          <w:b w:val="false"/>
          <w:i/>
          <w:color w:val="000000"/>
          <w:sz w:val="22"/>
        </w:rPr>
        <w:t xml:space="preserve">Pay for lead worker status. </w:t>
      </w:r>
      <w:r>
        <w:rPr>
          <w:rFonts w:ascii="Times New Roman" w:hAnsi="Times New Roman"/>
          <w:b w:val="false"/>
          <w:i w:val="false"/>
          <w:color w:val="000000"/>
          <w:sz w:val="22"/>
        </w:rPr>
        <w:t>On request of an employing department and with approval of the resident director, an employee who is assigned and performs limited supervisory duties (such as distributing work assignments, maintaining a balanced workload within a group, and keeping attendance and work records) in addition to regular duties may be designated as lead worker in the classification assigned and paid during the period of such designation the employee’s base salary plus a percentage of the employee’s base pay no greater than 5 percent without the approval of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w:t>
      </w:r>
      <w:r>
        <w:rPr>
          <w:rFonts w:ascii="Times New Roman" w:hAnsi="Times New Roman"/>
          <w:b w:val="false"/>
          <w:i w:val="false"/>
          <w:color w:val="000000"/>
          <w:sz w:val="22"/>
        </w:rPr>
        <w:t> </w:t>
      </w:r>
      <w:r>
        <w:rPr>
          <w:rFonts w:ascii="Times New Roman" w:hAnsi="Times New Roman"/>
          <w:b w:val="false"/>
          <w:i/>
          <w:color w:val="000000"/>
          <w:sz w:val="22"/>
        </w:rPr>
        <w:t xml:space="preserve">Pay for trainees and apprentices. </w:t>
      </w:r>
      <w:r>
        <w:rPr>
          <w:rFonts w:ascii="Times New Roman" w:hAnsi="Times New Roman"/>
          <w:b w:val="false"/>
          <w:i w:val="false"/>
          <w:color w:val="000000"/>
          <w:sz w:val="22"/>
        </w:rPr>
        <w:t>The schedule of wages for trainees and apprentices will be set at the minimum of the entrance rate of the journey classification and decreased by 3 percent for every year of the program. Each employee whose performance is satisfactory as determined by the employing department will progress by half of the annual increase every six months from the established minimum of the schedule to the entrance rate established for the journey classification at the completion of time established for training or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w:t>
      </w:r>
      <w:r>
        <w:rPr>
          <w:rFonts w:ascii="Times New Roman" w:hAnsi="Times New Roman"/>
          <w:b w:val="false"/>
          <w:i w:val="false"/>
          <w:color w:val="000000"/>
          <w:sz w:val="22"/>
        </w:rPr>
        <w:t> </w:t>
      </w:r>
      <w:r>
        <w:rPr>
          <w:rFonts w:ascii="Times New Roman" w:hAnsi="Times New Roman"/>
          <w:b w:val="false"/>
          <w:i/>
          <w:color w:val="000000"/>
          <w:sz w:val="22"/>
        </w:rPr>
        <w:t xml:space="preserve">Discretionary pay increases for permanent employees. </w:t>
      </w:r>
      <w:r>
        <w:rPr>
          <w:rFonts w:ascii="Times New Roman" w:hAnsi="Times New Roman"/>
          <w:b w:val="false"/>
          <w:i w:val="false"/>
          <w:color w:val="000000"/>
          <w:sz w:val="22"/>
        </w:rPr>
        <w:t>A permanent employee paid within the designated pay grade may be eligible for a discretionary increase to the employee’s present base pay as a result of a market analysis, equity analysis, employment offer or other employment situation. In no circumstance will the adjustment result in pay above the maximum of the pay grade. A resident director shall present the rationale for a discretionary pay increase to the merit system director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w:t>
      </w:r>
      <w:r>
        <w:rPr>
          <w:rFonts w:ascii="Times New Roman" w:hAnsi="Times New Roman"/>
          <w:b w:val="false"/>
          <w:i w:val="false"/>
          <w:color w:val="000000"/>
          <w:sz w:val="22"/>
        </w:rPr>
        <w:t> </w:t>
      </w:r>
      <w:r>
        <w:rPr>
          <w:rFonts w:ascii="Times New Roman" w:hAnsi="Times New Roman"/>
          <w:b w:val="false"/>
          <w:i/>
          <w:color w:val="000000"/>
          <w:sz w:val="22"/>
        </w:rPr>
        <w:t xml:space="preserve">Payment of a shift differential. </w:t>
      </w:r>
      <w:r>
        <w:rPr>
          <w:rFonts w:ascii="Times New Roman" w:hAnsi="Times New Roman"/>
          <w:b w:val="false"/>
          <w:i w:val="false"/>
          <w:color w:val="000000"/>
          <w:sz w:val="22"/>
        </w:rPr>
        <w:t>All employees will be paid a differential for any shift of which four or more hours occur between 6 p.m. and midnight and a shift differential for any shift of which four or more hours occur between midnight and 6 a.m. The amount of the shift differential paid shall be determined by the merit system director and may vary between or within institutions based on geographical or market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3.8(16)</w:t>
      </w:r>
      <w:r>
        <w:rPr>
          <w:rFonts w:ascii="Times New Roman" w:hAnsi="Times New Roman"/>
          <w:b w:val="false"/>
          <w:i w:val="false"/>
          <w:color w:val="000000"/>
          <w:sz w:val="22"/>
        </w:rPr>
        <w:t> </w:t>
      </w:r>
      <w:r>
        <w:rPr>
          <w:rFonts w:ascii="Times New Roman" w:hAnsi="Times New Roman"/>
          <w:b w:val="false"/>
          <w:i/>
          <w:color w:val="000000"/>
          <w:sz w:val="22"/>
        </w:rPr>
        <w:t xml:space="preserve">Pay for time on-call. </w:t>
      </w:r>
      <w:r>
        <w:rPr>
          <w:rFonts w:ascii="Times New Roman" w:hAnsi="Times New Roman"/>
          <w:b w:val="false"/>
          <w:i w:val="false"/>
          <w:color w:val="000000"/>
          <w:sz w:val="22"/>
        </w:rPr>
        <w:t>At the request of the employer, an employee who is off duty and free to engage in the employee’s own pursuits shall be considered on-call provided that the employee leaves word with the employer where to be reached if needed and the employee is able to report ready for work within a specified time after being contacted by the employer. The rate for on-call pay shall be determined by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w:t>
      </w:r>
      <w:r>
        <w:rPr>
          <w:rFonts w:ascii="Times New Roman" w:hAnsi="Times New Roman"/>
          <w:b w:val="false"/>
          <w:i w:val="false"/>
          <w:color w:val="000000"/>
          <w:sz w:val="22"/>
        </w:rPr>
        <w:t> </w:t>
      </w:r>
      <w:r>
        <w:rPr>
          <w:rFonts w:ascii="Times New Roman" w:hAnsi="Times New Roman"/>
          <w:b w:val="false"/>
          <w:i/>
          <w:color w:val="000000"/>
          <w:sz w:val="22"/>
        </w:rPr>
        <w:t xml:space="preserve">Pay on reclassification of position. </w:t>
      </w:r>
      <w:r>
        <w:rPr>
          <w:rFonts w:ascii="Times New Roman" w:hAnsi="Times New Roman"/>
          <w:b w:val="false"/>
          <w:i w:val="false"/>
          <w:color w:val="000000"/>
          <w:sz w:val="22"/>
        </w:rPr>
        <w:t>If a position is reclassified, the incumbent’s pay will be set in accordance with the rules governing pay on demotion, transfer, or promotion,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3.8(18)</w:t>
      </w:r>
      <w:r>
        <w:rPr>
          <w:rFonts w:ascii="Times New Roman" w:hAnsi="Times New Roman"/>
          <w:b w:val="false"/>
          <w:i w:val="false"/>
          <w:color w:val="000000"/>
          <w:sz w:val="22"/>
        </w:rPr>
        <w:t> </w:t>
      </w:r>
      <w:r>
        <w:rPr>
          <w:rFonts w:ascii="Times New Roman" w:hAnsi="Times New Roman"/>
          <w:b w:val="false"/>
          <w:i/>
          <w:color w:val="000000"/>
          <w:sz w:val="22"/>
        </w:rPr>
        <w:t xml:space="preserve">Recruitment or retention payments. </w:t>
      </w:r>
      <w:r>
        <w:rPr>
          <w:rFonts w:ascii="Times New Roman" w:hAnsi="Times New Roman"/>
          <w:b w:val="false"/>
          <w:i w:val="false"/>
          <w:color w:val="000000"/>
          <w:sz w:val="22"/>
        </w:rPr>
        <w:t>A payment to a job applicant or an employee may be made for recruitment or retention reasons. The resident director shall first submit a written explanation to the merit system director prior to any payment being made.</w:t>
      </w:r>
    </w:p>
    <w:p>
      <w:pPr>
        <w:spacing w:before="0" w:after="0"/>
        <w:ind w:left="120"/>
        <w:jc w:val="both"/>
      </w:pPr>
      <w:r>
        <w:rPr>
          <w:rFonts w:ascii="Times New Roman" w:hAnsi="Times New Roman"/>
          <w:b w:val="false"/>
          <w:i w:val="false"/>
          <w:color w:val="000000"/>
          <w:sz w:val="22"/>
        </w:rPr>
        <w:t>As a condition of receiving recruitment or retention pay, the recipient may be required to sign an agreement to continue employment with the employing department to be commensurate with the amount of the payment. If the recipient is terminated for cause or voluntarily leaves state employment, the recipient may be required to repay the employing department for the proportionate amount of the payment for the time remaining and it will be recouped from the final paycheck. When the recipient changes employment to another state agency, a repayment schedule must be approved by the employing department and the state agency. Recoupment will be coordinated between the state agency and the institution to ensure the proper reporting of taxes.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3.8(19)</w:t>
      </w:r>
      <w:r>
        <w:rPr>
          <w:rFonts w:ascii="Times New Roman" w:hAnsi="Times New Roman"/>
          <w:b w:val="false"/>
          <w:i w:val="false"/>
          <w:color w:val="000000"/>
          <w:sz w:val="22"/>
        </w:rPr>
        <w:t> </w:t>
      </w:r>
      <w:r>
        <w:rPr>
          <w:rFonts w:ascii="Times New Roman" w:hAnsi="Times New Roman"/>
          <w:b w:val="false"/>
          <w:i/>
          <w:color w:val="000000"/>
          <w:sz w:val="22"/>
        </w:rPr>
        <w:t xml:space="preserve">Emergency payments. </w:t>
      </w:r>
      <w:r>
        <w:rPr>
          <w:rFonts w:ascii="Times New Roman" w:hAnsi="Times New Roman"/>
          <w:b w:val="false"/>
          <w:i w:val="false"/>
          <w:color w:val="000000"/>
          <w:sz w:val="22"/>
        </w:rPr>
        <w:t>When a state of emergency has been declared to exist at an institution, an employee may be given emergency pay at the written request of the employee’s department head with appropriate administrative approval and the prior approval of the merit system director and resident director. The request will describe the nature of the state of emergency, the services provided by the employee in support of the management of or response to the state of emergency, the amount proposed, and the source of funds. Payment will be made as a lump sum award and will not change the employee’s established salary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3.8(20)</w:t>
      </w:r>
      <w:r>
        <w:rPr>
          <w:rFonts w:ascii="Times New Roman" w:hAnsi="Times New Roman"/>
          <w:b w:val="false"/>
          <w:i w:val="false"/>
          <w:color w:val="000000"/>
          <w:sz w:val="22"/>
        </w:rPr>
        <w:t> </w:t>
      </w:r>
      <w:r>
        <w:rPr>
          <w:rFonts w:ascii="Times New Roman" w:hAnsi="Times New Roman"/>
          <w:b w:val="false"/>
          <w:i/>
          <w:color w:val="000000"/>
          <w:sz w:val="22"/>
        </w:rPr>
        <w:t xml:space="preserve">Payment of a weekend differential. </w:t>
      </w:r>
      <w:r>
        <w:rPr>
          <w:rFonts w:ascii="Times New Roman" w:hAnsi="Times New Roman"/>
          <w:b w:val="false"/>
          <w:i w:val="false"/>
          <w:color w:val="000000"/>
          <w:sz w:val="22"/>
        </w:rPr>
        <w:t>At the request of the resident director and with approval from the merit system director, an employee may be paid a weekend differential for any shift of which four or more hours occur between Saturday at 12 midnight and Sunday at 11:59 p.m. The amount of the weekend differential paid shall be determined by the merit system director and may vary between or within institutions based on geographical or market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w:t>
      </w:r>
      <w:r>
        <w:rPr>
          <w:rFonts w:ascii="Times New Roman" w:hAnsi="Times New Roman"/>
          <w:b w:val="false"/>
          <w:i w:val="false"/>
          <w:color w:val="000000"/>
          <w:sz w:val="22"/>
        </w:rPr>
        <w:t> </w:t>
      </w:r>
      <w:r>
        <w:rPr>
          <w:rFonts w:ascii="Times New Roman" w:hAnsi="Times New Roman"/>
          <w:b w:val="false"/>
          <w:i/>
          <w:color w:val="000000"/>
          <w:sz w:val="22"/>
        </w:rPr>
        <w:t xml:space="preserve">Weekend option premium pay. </w:t>
      </w:r>
      <w:r>
        <w:rPr>
          <w:rFonts w:ascii="Times New Roman" w:hAnsi="Times New Roman"/>
          <w:b w:val="false"/>
          <w:i w:val="false"/>
          <w:color w:val="000000"/>
          <w:sz w:val="22"/>
        </w:rPr>
        <w:t>When an employee works the weekend as the employee’s primary schedule, the institution may request premium pay that is part of the employee’s hourly rate. The amount of the premium pay shall be determined by the merit system director and may vary between or within institutions based on geographical or market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w:t>
      </w:r>
      <w:r>
        <w:rPr>
          <w:rFonts w:ascii="Times New Roman" w:hAnsi="Times New Roman"/>
          <w:b w:val="false"/>
          <w:i w:val="false"/>
          <w:color w:val="000000"/>
          <w:sz w:val="22"/>
        </w:rPr>
        <w:t> </w:t>
      </w:r>
      <w:r>
        <w:rPr>
          <w:rFonts w:ascii="Times New Roman" w:hAnsi="Times New Roman"/>
          <w:b w:val="false"/>
          <w:i/>
          <w:color w:val="000000"/>
          <w:sz w:val="22"/>
        </w:rPr>
        <w:t xml:space="preserve">Payment for working additional shifts. </w:t>
      </w:r>
      <w:r>
        <w:rPr>
          <w:rFonts w:ascii="Times New Roman" w:hAnsi="Times New Roman"/>
          <w:b w:val="false"/>
          <w:i w:val="false"/>
          <w:color w:val="000000"/>
          <w:sz w:val="22"/>
        </w:rPr>
        <w:t>At the request of the resident director and with approval from the merit system director, when an employee works four or more unscheduled hours at the request of the employer, the employee may be paid an extra shift hourly premium. The amount of the premium paid shall be determined by the merit system director and may vary between or within institutions based on geographical or market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w:t>
      </w:r>
      <w:r>
        <w:rPr>
          <w:rFonts w:ascii="Times New Roman" w:hAnsi="Times New Roman"/>
          <w:b w:val="false"/>
          <w:i w:val="false"/>
          <w:color w:val="000000"/>
          <w:sz w:val="22"/>
        </w:rPr>
        <w:t> </w:t>
      </w:r>
      <w:r>
        <w:rPr>
          <w:rFonts w:ascii="Times New Roman" w:hAnsi="Times New Roman"/>
          <w:b w:val="false"/>
          <w:i/>
          <w:color w:val="000000"/>
          <w:sz w:val="22"/>
        </w:rPr>
        <w:t xml:space="preserve">Lump sum payments. </w:t>
      </w:r>
      <w:r>
        <w:rPr>
          <w:rFonts w:ascii="Times New Roman" w:hAnsi="Times New Roman"/>
          <w:b w:val="false"/>
          <w:i w:val="false"/>
          <w:color w:val="000000"/>
          <w:sz w:val="22"/>
        </w:rPr>
        <w:t>At the approval of the resident director, an employee may receive a lump sum payment that does not impact base salary. These payments can be part of the annual salary review process or another designated time. These payments are allowed once per fiscal year and are separate from any other pay practices in the merit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APPLICATION AND EVALUATION</w:t>
      </w:r>
    </w:p>
    <w:p>
      <w:pPr>
        <w:spacing w:before="0" w:after="0"/>
        <w:ind w:left="120"/>
        <w:jc w:val="both"/>
      </w:pPr>
      <w:r>
        <w:rPr>
          <w:rFonts w:ascii="Times New Roman" w:hAnsi="Times New Roman"/>
          <w:b/>
          <w:i w:val="false"/>
          <w:color w:val="000000"/>
          <w:sz w:val="22"/>
        </w:rPr>
        <w:t>681—3.9</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Applications. </w:t>
      </w:r>
      <w:r>
        <w:rPr>
          <w:rFonts w:ascii="Times New Roman" w:hAnsi="Times New Roman"/>
          <w:b w:val="false"/>
          <w:i w:val="false"/>
          <w:color w:val="000000"/>
          <w:sz w:val="22"/>
        </w:rPr>
        <w:t>Applications for employment will contain no question so formed as to elicit any information prohibited by state or federal statutes, and the truth of statements made on the application will be certified by the applicant. Public announcement of vacancies will be made for ten calendar days. A record of applications for employment will be kept at the institution in their recruitment and hiring system of record for a period of time to be designated by the resident director and pursuant to the institution record retention policies. Each institution may post recruitment announcements for application by employees of that institution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681—3.10</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Applicant evaluations. </w:t>
      </w:r>
      <w:r>
        <w:rPr>
          <w:rFonts w:ascii="Times New Roman" w:hAnsi="Times New Roman"/>
          <w:b w:val="false"/>
          <w:i w:val="false"/>
          <w:color w:val="000000"/>
          <w:sz w:val="22"/>
        </w:rPr>
        <w:t>Evaluations will be practical in nature, will be constructed to reveal the capacity to successfully perform the job for which the applicant is competing, will be rated objectively, and will be pursuant to federal or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681—3.11</w:t>
      </w:r>
      <w:r>
        <w:rPr>
          <w:rFonts w:ascii="Times New Roman" w:hAnsi="Times New Roman"/>
          <w:b/>
          <w:i w:val="false"/>
          <w:color w:val="000000"/>
          <w:sz w:val="22"/>
        </w:rPr>
        <w:t xml:space="preserve">(8A) </w:t>
      </w:r>
      <w:r>
        <w:rPr>
          <w:rFonts w:ascii="Times New Roman" w:hAnsi="Times New Roman"/>
          <w:b/>
          <w:i w:val="false"/>
          <w:color w:val="000000"/>
          <w:sz w:val="22"/>
        </w:rPr>
        <w:t xml:space="preserve">Nature of evaluations. </w:t>
      </w:r>
      <w:r>
        <w:rPr>
          <w:rFonts w:ascii="Times New Roman" w:hAnsi="Times New Roman"/>
          <w:b w:val="false"/>
          <w:i w:val="false"/>
          <w:color w:val="000000"/>
          <w:sz w:val="22"/>
        </w:rPr>
        <w:t>Applicant evaluations may screen for such factors as education, experience, aptitude, knowledge, character, physical fitness, or other qualifications or attributes that enter into the determination of the relative qualification of applicants. The evaluation process must align with federal or state laws and must be approved by each institution’s resident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681—3.12</w:t>
      </w:r>
      <w:r>
        <w:rPr>
          <w:rFonts w:ascii="Times New Roman" w:hAnsi="Times New Roman"/>
          <w:b/>
          <w:i w:val="false"/>
          <w:color w:val="000000"/>
          <w:sz w:val="22"/>
        </w:rPr>
        <w:t xml:space="preserve">(8A) </w:t>
      </w:r>
      <w:r>
        <w:rPr>
          <w:rFonts w:ascii="Times New Roman" w:hAnsi="Times New Roman"/>
          <w:b/>
          <w:i w:val="false"/>
          <w:color w:val="000000"/>
          <w:sz w:val="22"/>
        </w:rPr>
        <w:t xml:space="preserve">Qualifications. </w:t>
      </w:r>
      <w:r>
        <w:rPr>
          <w:rFonts w:ascii="Times New Roman" w:hAnsi="Times New Roman"/>
          <w:b w:val="false"/>
          <w:i w:val="false"/>
          <w:color w:val="000000"/>
          <w:sz w:val="22"/>
        </w:rPr>
        <w:t>Applicants must meet the qualifications for the classification as indicated in the board classification description, as well as any special qualifications associated with a particular position, which are approved by the resident director. Those applicants who meet the required qualifications shall be eligible for further consideration for hire, transfer or promotion in the 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APPOINTMENTS AND PROBATION</w:t>
      </w:r>
    </w:p>
    <w:p>
      <w:pPr>
        <w:spacing w:before="0" w:after="0"/>
        <w:ind w:left="120"/>
        <w:jc w:val="both"/>
      </w:pPr>
      <w:r>
        <w:rPr>
          <w:rFonts w:ascii="Times New Roman" w:hAnsi="Times New Roman"/>
          <w:b/>
          <w:i w:val="false"/>
          <w:color w:val="000000"/>
          <w:sz w:val="22"/>
        </w:rPr>
        <w:t>681—3.13</w:t>
      </w:r>
      <w:r>
        <w:rPr>
          <w:rFonts w:ascii="Times New Roman" w:hAnsi="Times New Roman"/>
          <w:b/>
          <w:i w:val="false"/>
          <w:color w:val="000000"/>
          <w:sz w:val="22"/>
        </w:rPr>
        <w:t xml:space="preserve">(8A) </w:t>
      </w:r>
      <w:r>
        <w:rPr>
          <w:rFonts w:ascii="Times New Roman" w:hAnsi="Times New Roman"/>
          <w:b/>
          <w:i w:val="false"/>
          <w:color w:val="000000"/>
          <w:sz w:val="22"/>
        </w:rPr>
        <w:t xml:space="preserve">Appointments. </w:t>
      </w:r>
      <w:r>
        <w:rPr>
          <w:rFonts w:ascii="Times New Roman" w:hAnsi="Times New Roman"/>
          <w:b w:val="false"/>
          <w:i w:val="false"/>
          <w:color w:val="000000"/>
          <w:sz w:val="22"/>
        </w:rPr>
        <w:t>All appointments under this system will be made in accordance with all federal and state laws and the provisions of these rules, including those concerning certification and selection unless otherwise specified.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681—3.14</w:t>
      </w:r>
      <w:r>
        <w:rPr>
          <w:rFonts w:ascii="Times New Roman" w:hAnsi="Times New Roman"/>
          <w:b/>
          <w:i w:val="false"/>
          <w:color w:val="000000"/>
          <w:sz w:val="22"/>
        </w:rPr>
        <w:t xml:space="preserve">(8A) </w:t>
      </w:r>
      <w:r>
        <w:rPr>
          <w:rFonts w:ascii="Times New Roman" w:hAnsi="Times New Roman"/>
          <w:b/>
          <w:i w:val="false"/>
          <w:color w:val="000000"/>
          <w:sz w:val="22"/>
        </w:rPr>
        <w:t xml:space="preserve">Temporary appointments. </w:t>
      </w:r>
      <w:r>
        <w:rPr>
          <w:rFonts w:ascii="Times New Roman" w:hAnsi="Times New Roman"/>
          <w:b w:val="false"/>
          <w:i w:val="false"/>
          <w:color w:val="000000"/>
          <w:sz w:val="22"/>
        </w:rPr>
        <w:t>Temporary appointments may be made and approved by the resident director to provide for services needed on a periodic basis. Appointments may be made without reference to the provision of these rules regarding minimum qualifications, certification, and selection. Employees appointed on this basis will not work more than 1,040 hours in any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681—3.15</w:t>
      </w:r>
      <w:r>
        <w:rPr>
          <w:rFonts w:ascii="Times New Roman" w:hAnsi="Times New Roman"/>
          <w:b/>
          <w:i w:val="false"/>
          <w:color w:val="000000"/>
          <w:sz w:val="22"/>
        </w:rPr>
        <w:t xml:space="preserve">(8A) </w:t>
      </w:r>
      <w:r>
        <w:rPr>
          <w:rFonts w:ascii="Times New Roman" w:hAnsi="Times New Roman"/>
          <w:b/>
          <w:i w:val="false"/>
          <w:color w:val="000000"/>
          <w:sz w:val="22"/>
        </w:rPr>
        <w:t xml:space="preserve">Trainee or apprentice appointment. </w:t>
      </w:r>
      <w:r>
        <w:rPr>
          <w:rFonts w:ascii="Times New Roman" w:hAnsi="Times New Roman"/>
          <w:b w:val="false"/>
          <w:i w:val="false"/>
          <w:color w:val="000000"/>
          <w:sz w:val="22"/>
        </w:rPr>
        <w:t>With the approval of the resident director, an institution may advertise a position for a classification designated for trainees or apprentices. When so designated, applicants do not need to meet the minimum qualifications of the classification for permanent appointment. The purpose of the program is to develop the trainee or apprentice to obtain the necessary knowledge, skills, and abilities to perform the work and to meet the minimum qualifications for the classification. At the conclusion of the designated training period or apprenticeship program, the employee must be able to satisfactorily perform the duties and meet the minimum qualifications to move into the regular 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681—3.16</w:t>
      </w:r>
      <w:r>
        <w:rPr>
          <w:rFonts w:ascii="Times New Roman" w:hAnsi="Times New Roman"/>
          <w:b/>
          <w:i w:val="false"/>
          <w:color w:val="000000"/>
          <w:sz w:val="22"/>
        </w:rPr>
        <w:t xml:space="preserve">(8A) </w:t>
      </w:r>
      <w:r>
        <w:rPr>
          <w:rFonts w:ascii="Times New Roman" w:hAnsi="Times New Roman"/>
          <w:b/>
          <w:i w:val="false"/>
          <w:color w:val="000000"/>
          <w:sz w:val="22"/>
        </w:rPr>
        <w:t xml:space="preserve">Term appointment. </w:t>
      </w:r>
      <w:r>
        <w:rPr>
          <w:rFonts w:ascii="Times New Roman" w:hAnsi="Times New Roman"/>
          <w:b w:val="false"/>
          <w:i w:val="false"/>
          <w:color w:val="000000"/>
          <w:sz w:val="22"/>
        </w:rPr>
        <w:t>When it is known that a particular job, project, grant or contract will require the services of an employee for a limited duration or where funding must be renewed periodically, a term appointment may be made. The initial appointment will not be made for more than two years. Renewals beyond two years may be approved by the resident director on the basis of funding availability or institutional limits on term appointments.</w:t>
      </w:r>
    </w:p>
    <w:p>
      <w:pPr>
        <w:spacing w:before="0" w:after="0"/>
        <w:ind w:left="120"/>
        <w:jc w:val="both"/>
      </w:pPr>
      <w:r>
        <w:rPr>
          <w:rFonts w:ascii="Times New Roman" w:hAnsi="Times New Roman"/>
          <w:b w:val="false"/>
          <w:i w:val="false"/>
          <w:color w:val="000000"/>
          <w:sz w:val="22"/>
        </w:rPr>
        <w:t>Employees on a term appointment are subject to a probationary period. An employee on term appointment subsequently hired as a regular employee in the same classification is not required to complete an additional probationary period.</w:t>
      </w:r>
    </w:p>
    <w:p>
      <w:pPr>
        <w:spacing w:before="0" w:after="0"/>
        <w:ind w:left="120"/>
        <w:jc w:val="both"/>
      </w:pPr>
      <w:r>
        <w:rPr>
          <w:rFonts w:ascii="Times New Roman" w:hAnsi="Times New Roman"/>
          <w:b w:val="false"/>
          <w:i w:val="false"/>
          <w:color w:val="000000"/>
          <w:sz w:val="22"/>
        </w:rPr>
        <w:t xml:space="preserve">Such appointments will not confer to the individual any right of position, transfer, demotion, promotion, or recall, but incumbents shall be eligible for vacation and sick leave, except that a term appointment made for less than 1,040 hours will be considered a temporary appointment under rule </w:t>
      </w:r>
      <w:hyperlink r:id="rId19">
        <w:r>
          <w:rPr>
            <w:rStyle w:val="Hyperlink"/>
            <w:rFonts w:ascii="Times New Roman" w:hAnsi="Times New Roman"/>
            <w:b w:val="false"/>
            <w:i w:val="false"/>
            <w:color w:val="000000"/>
            <w:sz w:val="22"/>
          </w:rPr>
          <w:t>681—3.14</w:t>
        </w:r>
      </w:hyperlink>
      <w:r>
        <w:rPr>
          <w:rFonts w:ascii="Times New Roman" w:hAnsi="Times New Roman"/>
          <w:b w:val="false"/>
          <w:i w:val="false"/>
          <w:color w:val="000000"/>
          <w:sz w:val="22"/>
        </w:rPr>
        <w:t>(8A) without conferring rights or eligibility for vacation or sick leave.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681—3.17</w:t>
      </w:r>
      <w:r>
        <w:rPr>
          <w:rFonts w:ascii="Times New Roman" w:hAnsi="Times New Roman"/>
          <w:b/>
          <w:i w:val="false"/>
          <w:color w:val="000000"/>
          <w:sz w:val="22"/>
        </w:rPr>
        <w:t xml:space="preserve">(8A) </w:t>
      </w:r>
      <w:r>
        <w:rPr>
          <w:rFonts w:ascii="Times New Roman" w:hAnsi="Times New Roman"/>
          <w:b/>
          <w:i w:val="false"/>
          <w:color w:val="000000"/>
          <w:sz w:val="22"/>
        </w:rPr>
        <w:t xml:space="preserve">Permanent appointments. </w:t>
      </w:r>
      <w:r>
        <w:rPr>
          <w:rFonts w:ascii="Times New Roman" w:hAnsi="Times New Roman"/>
          <w:b w:val="false"/>
          <w:i w:val="false"/>
          <w:color w:val="000000"/>
          <w:sz w:val="22"/>
        </w:rPr>
        <w:t>An applicant who is appointed with the approval of the hiring authority designated by each individual institution to a permanent position and who successfully completes a probationary period in accordance with these rules will have permanent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681—3.18</w:t>
      </w:r>
      <w:r>
        <w:rPr>
          <w:rFonts w:ascii="Times New Roman" w:hAnsi="Times New Roman"/>
          <w:b/>
          <w:i w:val="false"/>
          <w:color w:val="000000"/>
          <w:sz w:val="22"/>
        </w:rPr>
        <w:t xml:space="preserve">(8A) </w:t>
      </w:r>
      <w:r>
        <w:rPr>
          <w:rFonts w:ascii="Times New Roman" w:hAnsi="Times New Roman"/>
          <w:b/>
          <w:i w:val="false"/>
          <w:color w:val="000000"/>
          <w:sz w:val="22"/>
        </w:rPr>
        <w:t xml:space="preserve">Probationary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probationary period will be an important part of the examination and selection process, and will be used by the employing department to closely observe and evaluate an employee’s work, to train and aid the employee in adjustment to the employee’s position and to reject and dismiss any employee whose performance fails to meet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3.18(2)</w:t>
      </w:r>
      <w:r>
        <w:rPr>
          <w:rFonts w:ascii="Times New Roman" w:hAnsi="Times New Roman"/>
          <w:b w:val="false"/>
          <w:i w:val="false"/>
          <w:color w:val="000000"/>
          <w:sz w:val="22"/>
        </w:rPr>
        <w:t> </w:t>
      </w:r>
      <w:r>
        <w:rPr>
          <w:rFonts w:ascii="Times New Roman" w:hAnsi="Times New Roman"/>
          <w:b w:val="false"/>
          <w:i/>
          <w:color w:val="000000"/>
          <w:sz w:val="22"/>
        </w:rPr>
        <w:t xml:space="preserve">Duration of probation. </w:t>
      </w:r>
      <w:r>
        <w:rPr>
          <w:rFonts w:ascii="Times New Roman" w:hAnsi="Times New Roman"/>
          <w:b w:val="false"/>
          <w:i w:val="false"/>
          <w:color w:val="000000"/>
          <w:sz w:val="22"/>
        </w:rPr>
        <w:t>An employee on original appointment or who is reinstated or reemployed to a class not previously held will be on probation until the person completes six months of active service in the position to which the employee is appointed. This will be extended by the same number of days for leaves of absence of more than 30 days. If a probationary employee is not dismissed during this time, the person will, at the conclusion of the probationary period, have permanent status in that class. A period of temporary employment immediately preceding a permanent appointment to the same class may, at the request of the employing department, be counted as probationary service.</w:t>
      </w:r>
    </w:p>
    <w:p>
      <w:pPr>
        <w:spacing w:before="0" w:after="0"/>
        <w:ind w:left="120"/>
        <w:jc w:val="both"/>
      </w:pPr>
      <w:r>
        <w:rPr>
          <w:rFonts w:ascii="Times New Roman" w:hAnsi="Times New Roman"/>
          <w:b w:val="false"/>
          <w:i w:val="false"/>
          <w:color w:val="000000"/>
          <w:sz w:val="22"/>
        </w:rPr>
        <w:t>A permanent employee who is promoted from one class to another, who transfers out of classification, or who demotes out of classification series will serve a period of probation of six months in the position to which the employee is appointed. If the employee is not dismissed during this time, the employee will, at the conclusion of the probationary period, have permanent status in the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3.18(3)</w:t>
      </w:r>
      <w:r>
        <w:rPr>
          <w:rFonts w:ascii="Times New Roman" w:hAnsi="Times New Roman"/>
          <w:b w:val="false"/>
          <w:i w:val="false"/>
          <w:color w:val="000000"/>
          <w:sz w:val="22"/>
        </w:rPr>
        <w:t> </w:t>
      </w:r>
      <w:r>
        <w:rPr>
          <w:rFonts w:ascii="Times New Roman" w:hAnsi="Times New Roman"/>
          <w:b w:val="false"/>
          <w:i/>
          <w:color w:val="000000"/>
          <w:sz w:val="22"/>
        </w:rPr>
        <w:t xml:space="preserve">Dismissal during promotional probation. </w:t>
      </w:r>
      <w:r>
        <w:rPr>
          <w:rFonts w:ascii="Times New Roman" w:hAnsi="Times New Roman"/>
          <w:b w:val="false"/>
          <w:i w:val="false"/>
          <w:color w:val="000000"/>
          <w:sz w:val="22"/>
        </w:rPr>
        <w:t>An employee who is promoted from one classification to another, who transfers out of classification, or who demotes out of classification series and is dismissed during the employee’s probationary period may be placed on the recall list for a previously held classification if, in the judgment of the resident director, the employee may be able to perform satisfactorily in another 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TRANSFERS, DEMOTIONS AND TERMINATIONS</w:t>
      </w:r>
    </w:p>
    <w:p>
      <w:pPr>
        <w:spacing w:before="0" w:after="0"/>
        <w:ind w:left="120"/>
        <w:jc w:val="both"/>
      </w:pPr>
      <w:r>
        <w:rPr>
          <w:rFonts w:ascii="Times New Roman" w:hAnsi="Times New Roman"/>
          <w:b/>
          <w:i w:val="false"/>
          <w:color w:val="000000"/>
          <w:sz w:val="22"/>
        </w:rPr>
        <w:t>681—3.19</w:t>
      </w:r>
      <w:r>
        <w:rPr>
          <w:rFonts w:ascii="Times New Roman" w:hAnsi="Times New Roman"/>
          <w:b/>
          <w:i w:val="false"/>
          <w:color w:val="000000"/>
          <w:sz w:val="22"/>
        </w:rPr>
        <w:t xml:space="preserve">(8A) </w:t>
      </w:r>
      <w:r>
        <w:rPr>
          <w:rFonts w:ascii="Times New Roman" w:hAnsi="Times New Roman"/>
          <w:b/>
          <w:i w:val="false"/>
          <w:color w:val="000000"/>
          <w:sz w:val="22"/>
        </w:rPr>
        <w:t xml:space="preserve">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color w:val="000000"/>
          <w:sz w:val="22"/>
        </w:rPr>
        <w:t xml:space="preserve">Reassignments. </w:t>
      </w:r>
      <w:r>
        <w:rPr>
          <w:rFonts w:ascii="Times New Roman" w:hAnsi="Times New Roman"/>
          <w:b w:val="false"/>
          <w:i w:val="false"/>
          <w:color w:val="000000"/>
          <w:sz w:val="22"/>
        </w:rPr>
        <w:t>An employee, with the approval of the resident director, may be reassigned at any time from one position to another in the same class within an institution, except that a probationary employee who is certified to fill the employee’s position on the basis of special qualifications will not be reassigned unless the new position requires the same special qualifications that justified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color w:val="000000"/>
          <w:sz w:val="22"/>
        </w:rPr>
        <w:t xml:space="preserve">Special assignment. </w:t>
      </w:r>
      <w:r>
        <w:rPr>
          <w:rFonts w:ascii="Times New Roman" w:hAnsi="Times New Roman"/>
          <w:b w:val="false"/>
          <w:i w:val="false"/>
          <w:color w:val="000000"/>
          <w:sz w:val="22"/>
        </w:rPr>
        <w:t xml:space="preserve">When the services of an employee are temporarily needed in a position in the same or a different class within the institution other than the position to which the employee is assigned, the employee may be given a special assignment, with the prior approval of the resident director and involved departments, to perform the duties of such position for a period not to exceed six months without a change in title or status. In unusual circumstances, an extension of a special assignment for no more than one additional six-month period may be approved by the merit system director on written request from the resident director. Employees will be paid for a special assignment in accordance with subrule </w:t>
      </w:r>
      <w:hyperlink r:id="rId20">
        <w:r>
          <w:rPr>
            <w:rStyle w:val="Hyperlink"/>
            <w:rFonts w:ascii="Times New Roman" w:hAnsi="Times New Roman"/>
            <w:b w:val="false"/>
            <w:i w:val="false"/>
            <w:color w:val="000000"/>
            <w:sz w:val="22"/>
          </w:rPr>
          <w:t>3.8(6)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681—3.20</w:t>
      </w:r>
      <w:r>
        <w:rPr>
          <w:rFonts w:ascii="Times New Roman" w:hAnsi="Times New Roman"/>
          <w:b/>
          <w:i w:val="false"/>
          <w:color w:val="000000"/>
          <w:sz w:val="22"/>
        </w:rPr>
        <w:t xml:space="preserve">(8A) </w:t>
      </w:r>
      <w:r>
        <w:rPr>
          <w:rFonts w:ascii="Times New Roman" w:hAnsi="Times New Roman"/>
          <w:b/>
          <w:i w:val="false"/>
          <w:color w:val="000000"/>
          <w:sz w:val="22"/>
        </w:rPr>
        <w:t xml:space="preserve">Demotion (voluntary). </w:t>
      </w:r>
      <w:r>
        <w:rPr>
          <w:rFonts w:ascii="Times New Roman" w:hAnsi="Times New Roman"/>
          <w:b w:val="false"/>
          <w:i w:val="false"/>
          <w:color w:val="000000"/>
          <w:sz w:val="22"/>
        </w:rPr>
        <w:t>If an employee wishes to be demoted to a lower classification, the resident director may, upon written request from the employee and with the approval of involved departments, effect such a demotion provided the employee is certified by the resident director as meeting the qualifications required for the lower classification. Voluntary demotion will not be subject to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681—3.21</w:t>
      </w:r>
      <w:r>
        <w:rPr>
          <w:rFonts w:ascii="Times New Roman" w:hAnsi="Times New Roman"/>
          <w:b/>
          <w:i w:val="false"/>
          <w:color w:val="000000"/>
          <w:sz w:val="22"/>
        </w:rPr>
        <w:t xml:space="preserve">(8A) </w:t>
      </w:r>
      <w:r>
        <w:rPr>
          <w:rFonts w:ascii="Times New Roman" w:hAnsi="Times New Roman"/>
          <w:b/>
          <w:i w:val="false"/>
          <w:color w:val="000000"/>
          <w:sz w:val="22"/>
        </w:rPr>
        <w:t xml:space="preserve">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w:t>
      </w:r>
      <w:r>
        <w:rPr>
          <w:rFonts w:ascii="Times New Roman" w:hAnsi="Times New Roman"/>
          <w:b w:val="false"/>
          <w:i w:val="false"/>
          <w:color w:val="000000"/>
          <w:sz w:val="22"/>
        </w:rPr>
        <w:t> </w:t>
      </w:r>
      <w:r>
        <w:rPr>
          <w:rFonts w:ascii="Times New Roman" w:hAnsi="Times New Roman"/>
          <w:b w:val="false"/>
          <w:i/>
          <w:color w:val="000000"/>
          <w:sz w:val="22"/>
        </w:rPr>
        <w:t xml:space="preserve">Reduction in 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Reduction in force will be accomplished in a systematic manner in accordance with these rules; however, the layoff provisions established in this subrule shall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layoffs of less than 25 workdays or 200 hours of work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Interruptions in the employment of school term employees during breaks in the academic year, during the summer, or during other seasonal interruptions that are a condition of employment, with the prior approval of the resident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promotion or reclassification of an employee to a classification in the same or a higher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reclassification of an employee’s position to a classification in a lower pay grade that results from the correction of a classification error, the implementation of a classification or series revision, changes in the duties of the position, or a reorganization that does not result in fewer total positions in the unit that is reorganized;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change in the classification of an employee’s position or the appointment of an employee to a classification in a lower pay grade resulting from a demotion;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transfer or reassignment of an employee to another position in the same classification or to a classification in the same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whose position is eliminated or reduced in hours may be reassigned to a vacant position in the same classification and institution provided the individual possesses any required special qualifications for the position. If there is no vacant position to which the individual can be reassigned, the individual may accept layoff with recall priority as provided in paragraph </w:t>
      </w:r>
      <w:hyperlink r:id="rId21">
        <w:r>
          <w:rPr>
            <w:rStyle w:val="Hyperlink"/>
            <w:rFonts w:ascii="Times New Roman" w:hAnsi="Times New Roman"/>
            <w:b w:val="false"/>
            <w:i w:val="false"/>
            <w:color w:val="000000"/>
            <w:sz w:val="22"/>
          </w:rPr>
          <w:t>3.21(1)</w:t>
        </w:r>
      </w:hyperlink>
      <w:r>
        <w:rPr>
          <w:rFonts w:ascii="Times New Roman" w:hAnsi="Times New Roman"/>
          <w:b w:val="false"/>
          <w:i/>
          <w:color w:val="000000"/>
          <w:sz w:val="22"/>
        </w:rPr>
        <w:t>“n.”</w:t>
      </w:r>
      <w:r>
        <w:rPr>
          <w:rFonts w:ascii="Times New Roman" w:hAnsi="Times New Roman"/>
          <w:b w:val="false"/>
          <w:i w:val="false"/>
          <w:color w:val="000000"/>
          <w:sz w:val="22"/>
        </w:rPr>
        <w:t xml:space="preserve"> If the individual directly affected does not accept layoff, the reduction in force procedures in this subrule shall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Reduction in force will be made by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Reduction in force may be made by organizational unit within an institution or institutionwide, as designated by the institution, provided such designation is reported to the merit system director before the effective date of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order of reduction in force will be by type of appointment as follows: temporary, trainee, initial probationary, permanent.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permanent employee affected by a reduction in force will be notified in writing of the layoff and the reasons for it at least 28 days prior to the effective date of the layoff unless budgetary limitations require a lesser period of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will be competition among all employees in the classification affected by the layoff based on a retention points system of all employees in the classification within the organizational unit or units affected. Retention points will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Length of service credit will be allowed at the rate of one point for each month of service in a permanent position, whether full- or part-time. Any period of 15 calendar days of service (including any legally protected leave, paid or unpaid) in a month will be considered a full month. For the purpose of computing length of service credits, the institution will include all periods of regular merit employment during periods of continuous regular appointments with the institution between the date of the original appointment and the date of the layoff or as provided otherwise by law. Periods of leave without pay exceeding 30 days will not be counted unless protected by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Performance evaluation deduction will be allowed at the rate of one point for each month of unsatisfactory service. No length of service credit will be allowed for service rated less than satisfactory. If there is no record of performance evaluation for a specific time period, it shall be presumed that the employee’s performance is satisfactory.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Reduction in force retention points will be the total of length of service, less any deduction for unsatisfactory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Employees will be placed on the layoff list beginning with the employee with the greatest number of retention points at the top. Layoffs will be made from the list in reverse order unless the employee with the least retention points has special skills and abilities required to perform in the position currently occupied. An employee with greater retention points who must vacate the employee’s position must possess the special skills and abilities required for that position and meet any job-related selective certification required for that position. Copies of the computation of retention points will be made available to affected employees. One copy will be retained by the resident director and one copy will be forwarded to the merit system director at least ten days prior to the effective date of the layoff.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two or more employees have the same total of retention points, the order of termination will be determined by giving preference for retention to the employee with the longest time in the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reduction in force plan approved by the merit system director will be made available by the resident director so that employees directly impacted will have access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affected employee may appeal a reduction in force by filing, within seven days after notification as provided in paragraph </w:t>
      </w:r>
      <w:hyperlink r:id="rId22">
        <w:r>
          <w:rPr>
            <w:rStyle w:val="Hyperlink"/>
            <w:rFonts w:ascii="Times New Roman" w:hAnsi="Times New Roman"/>
            <w:b w:val="false"/>
            <w:i w:val="false"/>
            <w:color w:val="000000"/>
            <w:sz w:val="22"/>
          </w:rPr>
          <w:t>3.21(1)</w:t>
        </w:r>
      </w:hyperlink>
      <w:r>
        <w:rPr>
          <w:rFonts w:ascii="Times New Roman" w:hAnsi="Times New Roman"/>
          <w:b w:val="false"/>
          <w:i/>
          <w:color w:val="000000"/>
          <w:sz w:val="22"/>
        </w:rPr>
        <w:t>“f,”</w:t>
      </w:r>
      <w:r>
        <w:rPr>
          <w:rFonts w:ascii="Times New Roman" w:hAnsi="Times New Roman"/>
          <w:b w:val="false"/>
          <w:i w:val="false"/>
          <w:color w:val="000000"/>
          <w:sz w:val="22"/>
        </w:rPr>
        <w:t xml:space="preserve"> a written grievance with the resident director (at Step 3 of the grievance procedure provided in rule </w:t>
      </w:r>
      <w:hyperlink r:id="rId23">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or at a comparable step of a procedure approved under subrule </w:t>
      </w:r>
      <w:hyperlink r:id="rId24">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If not satisfied with the decision rendered at that step, the employee may pursue an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supervisory employee, defined as a public employee who is not a member of a collective bargaining unit and who has authority, in the interest of a public employer, to hire, transfer, suspend, lay off, recall, promote, discharge, assign, reward, or discipline other public employees, to direct such public employees, or to adjust the grievances of such public employees, or to effectively recommend such action, may not replace or bump a junior employee not being laid off. For purposes of this subrule, “junior employee” means an employee with fewer retention points than a supervisory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permanent employee in a nonsupervisory classification in which layoffs are to be effected may, in lieu of layoff, elect voluntary demotion to a position in the next lower nonsupervisory classification in the same series utilized at the institution or, in the absence of a lower nonsupervisory classification in the same series, to a nonsupervisory classification that the employee has formerly occupied while in the continuous employment of the institution. The employee must possess any special qualifications required and have the ability to perform the essential functions of the position. Such demotion or the occupying of a formerly held nonsupervisory classification will not be permitted if the result thereof would be to cause the layoff of a permanent employee with a greater total of retention points. To exercise the right of voluntary demotion or to occupy a formerly held nonsupervisory classification in lieu of layoff, the employee must notify the resident director in writing of such election not later than five calendar days after receiving notice of layoff. Any permanent employee displaced under these provisions will have the right of election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who is laid off or who accepts a voluntary demotion in a series or assignment to a previously held classification in lieu of layoff may, at the employee’s request, initiate recall priority for the classification from which the employee was laid off, a lower classification(s) in the same series from which the employee was laid off, and a classification formerly occupied in accordance with rule </w:t>
      </w:r>
      <w:hyperlink r:id="rId25">
        <w:r>
          <w:rPr>
            <w:rStyle w:val="Hyperlink"/>
            <w:rFonts w:ascii="Times New Roman" w:hAnsi="Times New Roman"/>
            <w:b w:val="false"/>
            <w:i w:val="false"/>
            <w:color w:val="000000"/>
            <w:sz w:val="22"/>
          </w:rPr>
          <w:t>681—3.22</w:t>
        </w:r>
      </w:hyperlink>
      <w:r>
        <w:rPr>
          <w:rFonts w:ascii="Times New Roman" w:hAnsi="Times New Roman"/>
          <w:b w:val="false"/>
          <w:i w:val="false"/>
          <w:color w:val="000000"/>
          <w:sz w:val="22"/>
        </w:rPr>
        <w:t>(8A) for a period of up to one year from the date of layoff. If recall occurs within one year of separation due to reduction in force, prior service credit shall be restored. Acceptance of recall in a lower classification in the same series from which the employee was laid off or in a previously held classification will not affect the employee’s recall priority for the classification from which the employee was laid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Recall priority will utilize the retention points calculated in accordance with subrule </w:t>
      </w:r>
      <w:hyperlink r:id="rId2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beginning with the person with the highest number of points as applied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vacancy occurs in a layoff unit in which the employees eligible for recall in a classification were last employed, the resident director will refer the employee with the greatest number of retention points who was laid off, was demoted or took a medically related disability leave from that layoff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vacancy occurs in the layoff unit other than the one in which employees eligible for recall priority in a classification were last employed, the resident director will refer the employee with the greatest number of retention points on the list from a different layoff unit. Employees referred with recall priority must meet the qualifications for the position, including any special qualification requirements. Employing departments must evaluate any eligible employees with recall priority before considering other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681—3.22</w:t>
      </w:r>
      <w:r>
        <w:rPr>
          <w:rFonts w:ascii="Times New Roman" w:hAnsi="Times New Roman"/>
          <w:b/>
          <w:i w:val="false"/>
          <w:color w:val="000000"/>
          <w:sz w:val="22"/>
        </w:rPr>
        <w:t xml:space="preserve">(8A) </w:t>
      </w:r>
      <w:r>
        <w:rPr>
          <w:rFonts w:ascii="Times New Roman" w:hAnsi="Times New Roman"/>
          <w:b/>
          <w:i w:val="false"/>
          <w:color w:val="000000"/>
          <w:sz w:val="22"/>
        </w:rPr>
        <w:t xml:space="preserve">Recall lists. </w:t>
      </w:r>
      <w:r>
        <w:rPr>
          <w:rFonts w:ascii="Times New Roman" w:hAnsi="Times New Roman"/>
          <w:b w:val="false"/>
          <w:i w:val="false"/>
          <w:color w:val="000000"/>
          <w:sz w:val="22"/>
        </w:rPr>
        <w:t xml:space="preserve">Recall lists will consist of the names of permanent employees who have been laid off or demoted in lieu of layoff or who are able and qualified to return to work following a medically related disability leave in accordance with paragraph </w:t>
      </w:r>
      <w:hyperlink r:id="rId27">
        <w:r>
          <w:rPr>
            <w:rStyle w:val="Hyperlink"/>
            <w:rFonts w:ascii="Times New Roman" w:hAnsi="Times New Roman"/>
            <w:b w:val="false"/>
            <w:i w:val="false"/>
            <w:color w:val="000000"/>
            <w:sz w:val="22"/>
          </w:rPr>
          <w:t>3.21(1)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rule </w:t>
      </w:r>
      <w:hyperlink r:id="rId28">
        <w:r>
          <w:rPr>
            <w:rStyle w:val="Hyperlink"/>
            <w:rFonts w:ascii="Times New Roman" w:hAnsi="Times New Roman"/>
            <w:b w:val="false"/>
            <w:i w:val="false"/>
            <w:color w:val="000000"/>
            <w:sz w:val="22"/>
          </w:rPr>
          <w:t>681—3.26</w:t>
        </w:r>
      </w:hyperlink>
      <w:r>
        <w:rPr>
          <w:rFonts w:ascii="Times New Roman" w:hAnsi="Times New Roman"/>
          <w:b w:val="false"/>
          <w:i w:val="false"/>
          <w:color w:val="000000"/>
          <w:sz w:val="22"/>
        </w:rPr>
        <w:t xml:space="preserve">(8A) or in accordance with subrule </w:t>
      </w:r>
      <w:hyperlink r:id="rId29">
        <w:r>
          <w:rPr>
            <w:rStyle w:val="Hyperlink"/>
            <w:rFonts w:ascii="Times New Roman" w:hAnsi="Times New Roman"/>
            <w:b w:val="false"/>
            <w:i w:val="false"/>
            <w:color w:val="000000"/>
            <w:sz w:val="22"/>
          </w:rPr>
          <w:t>3.18(3)</w:t>
        </w:r>
      </w:hyperlink>
      <w:r>
        <w:rPr>
          <w:rFonts w:ascii="Times New Roman" w:hAnsi="Times New Roman"/>
          <w:b w:val="false"/>
          <w:i w:val="false"/>
          <w:color w:val="000000"/>
          <w:sz w:val="22"/>
        </w:rPr>
        <w:t>. These lists will be maintained in order by retention points calculated in accordance with the rules for reduction in force, beginning with the person with the highest number of points. Recall rights apply only to classifications for which the employee is eligible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color w:val="000000"/>
          <w:sz w:val="22"/>
        </w:rPr>
        <w:t xml:space="preserve">Removal of names from recall lists. </w:t>
      </w:r>
      <w:r>
        <w:rPr>
          <w:rFonts w:ascii="Times New Roman" w:hAnsi="Times New Roman"/>
          <w:b w:val="false"/>
          <w:i w:val="false"/>
          <w:color w:val="000000"/>
          <w:sz w:val="22"/>
        </w:rPr>
        <w:t>The resident director may permanently or temporarily remove names from recall lists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notification from an applicant that the applicant no longer desires consideration for a position in the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Appointment to fill a permanent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five working days to the written inquiry of the resident director relative to availability for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Declination of an appointment that an applicant previously indicated the applicant would accept.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appear for a scheduled employment interview or to report for duty within a reasonable time specified by the employing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maintain contact with the resident director as evidenced by the return of a properly addressed unclaimed letter or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violation of any of the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color w:val="000000"/>
          <w:sz w:val="22"/>
        </w:rPr>
        <w:t xml:space="preserve">Duration of recall lists. </w:t>
      </w:r>
      <w:r>
        <w:rPr>
          <w:rFonts w:ascii="Times New Roman" w:hAnsi="Times New Roman"/>
          <w:b w:val="false"/>
          <w:i w:val="false"/>
          <w:color w:val="000000"/>
          <w:sz w:val="22"/>
        </w:rPr>
        <w:t>The names of employees who have not been appointed or otherwise removed from lists will be removed at the termination of the period of time designated by the resident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w:t>
      </w:r>
      <w:r>
        <w:rPr>
          <w:rFonts w:ascii="Times New Roman" w:hAnsi="Times New Roman"/>
          <w:b w:val="false"/>
          <w:i w:val="false"/>
          <w:color w:val="000000"/>
          <w:sz w:val="22"/>
        </w:rPr>
        <w:t> </w:t>
      </w:r>
      <w:r>
        <w:rPr>
          <w:rFonts w:ascii="Times New Roman" w:hAnsi="Times New Roman"/>
          <w:b w:val="false"/>
          <w:i/>
          <w:color w:val="000000"/>
          <w:sz w:val="22"/>
        </w:rPr>
        <w:t xml:space="preserve">Precedence of eligibility lists. </w:t>
      </w:r>
      <w:r>
        <w:rPr>
          <w:rFonts w:ascii="Times New Roman" w:hAnsi="Times New Roman"/>
          <w:b w:val="false"/>
          <w:i w:val="false"/>
          <w:color w:val="000000"/>
          <w:sz w:val="22"/>
        </w:rPr>
        <w:t>Recall lists will supersede other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DISCIPLINARY ACTIONS</w:t>
      </w:r>
    </w:p>
    <w:p>
      <w:pPr>
        <w:spacing w:before="0" w:after="0"/>
        <w:ind w:left="120"/>
        <w:jc w:val="both"/>
      </w:pPr>
      <w:r>
        <w:rPr>
          <w:rFonts w:ascii="Times New Roman" w:hAnsi="Times New Roman"/>
          <w:b/>
          <w:i w:val="false"/>
          <w:color w:val="000000"/>
          <w:sz w:val="22"/>
        </w:rPr>
        <w:t>681—3.23</w:t>
      </w:r>
      <w:r>
        <w:rPr>
          <w:rFonts w:ascii="Times New Roman" w:hAnsi="Times New Roman"/>
          <w:b/>
          <w:i w:val="false"/>
          <w:color w:val="000000"/>
          <w:sz w:val="22"/>
        </w:rPr>
        <w:t xml:space="preserve">(8A) </w:t>
      </w:r>
      <w:r>
        <w:rPr>
          <w:rFonts w:ascii="Times New Roman" w:hAnsi="Times New Roman"/>
          <w:b/>
          <w:i w:val="false"/>
          <w:color w:val="000000"/>
          <w:sz w:val="22"/>
        </w:rPr>
        <w:t xml:space="preserve">Disciplinary actions. </w:t>
      </w:r>
      <w:r>
        <w:rPr>
          <w:rFonts w:ascii="Times New Roman" w:hAnsi="Times New Roman"/>
          <w:b w:val="false"/>
          <w:i w:val="false"/>
          <w:color w:val="000000"/>
          <w:sz w:val="22"/>
        </w:rPr>
        <w:t>Disciplinary action will be reasonable, timely and related in severity to the seriousness of the offense; however, this will not preclude reasonable penalties of varying severity for an accumulation of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The employing department may, for cause, suspend any employee for such length of time as the department head considers appropriate, not to exceed 30 days. The employing department will inform the affected employee of the suspension and the reasons therefor in writing within 24 hours of the time the action is taken. A copy of the suspension will be sent by the department to the resident director and will be maintained in the employee’s official record. An employee may appeal the action directly to Step 2 of the grievance procedure specified in rule </w:t>
      </w:r>
      <w:hyperlink r:id="rId30">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or to a comparable step in a grievance procedure approved in accordance with subrule </w:t>
      </w:r>
      <w:hyperlink r:id="rId31">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If not satisfied with the decision rendered at that step, an employee may pursue the employee’s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3.23(2)</w:t>
      </w:r>
      <w:r>
        <w:rPr>
          <w:rFonts w:ascii="Times New Roman" w:hAnsi="Times New Roman"/>
          <w:b w:val="false"/>
          <w:i w:val="false"/>
          <w:color w:val="000000"/>
          <w:sz w:val="22"/>
        </w:rPr>
        <w:t> </w:t>
      </w:r>
      <w:r>
        <w:rPr>
          <w:rFonts w:ascii="Times New Roman" w:hAnsi="Times New Roman"/>
          <w:b w:val="false"/>
          <w:i/>
          <w:color w:val="000000"/>
          <w:sz w:val="22"/>
        </w:rPr>
        <w:t xml:space="preserve">Reduction of pay within grade. </w:t>
      </w:r>
      <w:r>
        <w:rPr>
          <w:rFonts w:ascii="Times New Roman" w:hAnsi="Times New Roman"/>
          <w:b w:val="false"/>
          <w:i w:val="false"/>
          <w:color w:val="000000"/>
          <w:sz w:val="22"/>
        </w:rPr>
        <w:t xml:space="preserve">An employing department may, for cause, reduce the pay of an employee to a lower rate of pay within the pay grade assigned to the classification. The department will notify the affected employee of the reduction, the reasons therefor and the duration thereof in writing within 24 hours of the time the action is taken. A copy of the reduction notice will be sent by the department to the resident director and will be maintained in the employee’s official record. An employee may appeal the action directly to Step 2 of the grievance procedure specified in rule </w:t>
      </w:r>
      <w:hyperlink r:id="rId32">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or a comparable step in a grievance procedure approved in accordance with subrule </w:t>
      </w:r>
      <w:hyperlink r:id="rId33">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If not satisfied with the decision rendered at that step, an employee may pursue the employee’s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3.23(3)</w:t>
      </w:r>
      <w:r>
        <w:rPr>
          <w:rFonts w:ascii="Times New Roman" w:hAnsi="Times New Roman"/>
          <w:b w:val="false"/>
          <w:i w:val="false"/>
          <w:color w:val="000000"/>
          <w:sz w:val="22"/>
        </w:rPr>
        <w:t> </w:t>
      </w:r>
      <w:r>
        <w:rPr>
          <w:rFonts w:ascii="Times New Roman" w:hAnsi="Times New Roman"/>
          <w:b w:val="false"/>
          <w:i/>
          <w:color w:val="000000"/>
          <w:sz w:val="22"/>
        </w:rPr>
        <w:t xml:space="preserve">Demotion. </w:t>
      </w:r>
      <w:r>
        <w:rPr>
          <w:rFonts w:ascii="Times New Roman" w:hAnsi="Times New Roman"/>
          <w:b w:val="false"/>
          <w:i w:val="false"/>
          <w:color w:val="000000"/>
          <w:sz w:val="22"/>
        </w:rPr>
        <w:t xml:space="preserve">An employing department may, for cause, demote an employee to a vacant position in a lower classification provided the employee meets the qualifications for that lower classification. The department head will notify the affected employee of the demotion and the reasons therefor in writing within 24 hours of the time the action is taken. A copy of the notice of demotion will be sent by the department to the resident director and will be maintained in the employee’s official record. An employee may appeal the action directly to Step 2 of the grievance procedure specified in rule </w:t>
      </w:r>
      <w:hyperlink r:id="rId34">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or a comparable step in a grievance procedure approved in accordance with subrule </w:t>
      </w:r>
      <w:hyperlink r:id="rId35">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If not satisfied with the decision rendered at that step, an employee may pursue the employee’s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3.23(4)</w:t>
      </w:r>
      <w:r>
        <w:rPr>
          <w:rFonts w:ascii="Times New Roman" w:hAnsi="Times New Roman"/>
          <w:b w:val="false"/>
          <w:i w:val="false"/>
          <w:color w:val="000000"/>
          <w:sz w:val="22"/>
        </w:rPr>
        <w:t> </w:t>
      </w:r>
      <w:r>
        <w:rPr>
          <w:rFonts w:ascii="Times New Roman" w:hAnsi="Times New Roman"/>
          <w:b w:val="false"/>
          <w:i/>
          <w:color w:val="000000"/>
          <w:sz w:val="22"/>
        </w:rPr>
        <w:t xml:space="preserve">Discharge. </w:t>
      </w:r>
      <w:r>
        <w:rPr>
          <w:rFonts w:ascii="Times New Roman" w:hAnsi="Times New Roman"/>
          <w:b w:val="false"/>
          <w:i w:val="false"/>
          <w:color w:val="000000"/>
          <w:sz w:val="22"/>
        </w:rPr>
        <w:t xml:space="preserve">A department head may, for cause, discharge any employee. The department head will notify the affected employee of the discharge and the reasons therefor in writing within 24 hours of the time the action is taken. A copy of the notice of discharge will be sent by the department to the resident director and will be maintained in the employee’s official record. An employee may appeal the action directly to Step 2 of the grievance procedure specified in rule </w:t>
      </w:r>
      <w:hyperlink r:id="rId36">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or a comparable step in a grievance procedure approved in accordance with subrule </w:t>
      </w:r>
      <w:hyperlink r:id="rId37">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If not satisfied with the decision rendered at that step, an employee may pursue the employee’s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rehire. </w:t>
      </w:r>
      <w:r>
        <w:rPr>
          <w:rFonts w:ascii="Times New Roman" w:hAnsi="Times New Roman"/>
          <w:b w:val="false"/>
          <w:i w:val="false"/>
          <w:color w:val="000000"/>
          <w:sz w:val="22"/>
        </w:rPr>
        <w:t>An employee discharged for misconduct or unsatisfactory performance may be determined to be ineligible for reemployment with the same institution. The former employee will be promptly notified and may request review of the reason for disqualification. Such request shall be in writing, and upon receipt, the resident director will give full consideration to the request for review and notify the applicant of the resident director’s decision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GRIEVANCES AND APPEALS</w:t>
      </w:r>
    </w:p>
    <w:p>
      <w:pPr>
        <w:spacing w:before="0" w:after="0"/>
        <w:ind w:left="120"/>
        <w:jc w:val="both"/>
      </w:pPr>
      <w:r>
        <w:rPr>
          <w:rFonts w:ascii="Times New Roman" w:hAnsi="Times New Roman"/>
          <w:b/>
          <w:i w:val="false"/>
          <w:color w:val="000000"/>
          <w:sz w:val="22"/>
        </w:rPr>
        <w:t>681—3.24</w:t>
      </w:r>
      <w:r>
        <w:rPr>
          <w:rFonts w:ascii="Times New Roman" w:hAnsi="Times New Roman"/>
          <w:b/>
          <w:i w:val="false"/>
          <w:color w:val="000000"/>
          <w:sz w:val="22"/>
        </w:rPr>
        <w:t xml:space="preserve">(8A) </w:t>
      </w:r>
      <w:r>
        <w:rPr>
          <w:rFonts w:ascii="Times New Roman" w:hAnsi="Times New Roman"/>
          <w:b/>
          <w:i w:val="false"/>
          <w:color w:val="000000"/>
          <w:sz w:val="22"/>
        </w:rPr>
        <w:t xml:space="preserve">Reviews of position classification. </w:t>
      </w:r>
      <w:r>
        <w:rPr>
          <w:rFonts w:ascii="Times New Roman" w:hAnsi="Times New Roman"/>
          <w:b w:val="false"/>
          <w:i w:val="false"/>
          <w:color w:val="000000"/>
          <w:sz w:val="22"/>
        </w:rPr>
        <w:t>A permanent employee or department designee may request a position classification review in written form. The employee’s or designee’s request will be forwarded to the college or division with a recommendation from the department head within 14 days of the date of the request. The college or division will forward the request to the resident director within 14 days. The resident director shall provide a recommendation to the merit system director within 20 working days. The merit system director or designee shall provide a decision within 20 working days to the resident director who will inform the employee and department designee. If the employee or department is not satisfied with the merit system director’s decision, the employee or designee may appeal the decision in writing within seven days of the decision to a qualified classification appeal committee appointed in accordance with the procedures approved by the board.</w:t>
      </w:r>
    </w:p>
    <w:p>
      <w:pPr>
        <w:spacing w:before="0" w:after="0"/>
        <w:ind w:left="120"/>
        <w:jc w:val="both"/>
      </w:pPr>
      <w:r>
        <w:rPr>
          <w:rFonts w:ascii="Times New Roman" w:hAnsi="Times New Roman"/>
          <w:b w:val="false"/>
          <w:i w:val="false"/>
          <w:color w:val="000000"/>
          <w:sz w:val="22"/>
        </w:rPr>
        <w:t>The classification appeal committee will conduct such investigation as it deems necessary to determine the proper classification of the position and will notify the involved parties of its decision within 45 days from receipt of the appeal. Any further requests for review of the same position must be presented to the resident director in compliance with this rule and will be considered a new classification review. A new classification review will not be allowed for one year following the final decision on a request for review unless there have been substantial changes in the duties and responsibilities of the position. An appeal will be considered based on the duties and responsibilities assigned at the time of the original classification review, and in no case will the assignment of additional duties and responsibilities following the resident director’s investigation of the original request for review be considered during the process of appeal as outlined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681—3.25</w:t>
      </w:r>
      <w:r>
        <w:rPr>
          <w:rFonts w:ascii="Times New Roman" w:hAnsi="Times New Roman"/>
          <w:b/>
          <w:i w:val="false"/>
          <w:color w:val="000000"/>
          <w:sz w:val="22"/>
        </w:rPr>
        <w:t xml:space="preserve">(8A) </w:t>
      </w:r>
      <w:r>
        <w:rPr>
          <w:rFonts w:ascii="Times New Roman" w:hAnsi="Times New Roman"/>
          <w:b/>
          <w:i w:val="false"/>
          <w:color w:val="000000"/>
          <w:sz w:val="22"/>
        </w:rPr>
        <w:t xml:space="preserve">Grievances. </w:t>
      </w:r>
      <w:r>
        <w:rPr>
          <w:rFonts w:ascii="Times New Roman" w:hAnsi="Times New Roman"/>
          <w:b w:val="false"/>
          <w:i w:val="false"/>
          <w:color w:val="000000"/>
          <w:sz w:val="22"/>
        </w:rPr>
        <w:t xml:space="preserve">Disputes or complaints by permanent employees regarding the interpretation or application of institutional rules governing terms of employment or working conditions (other than general wage levels) or the provisions of these merit system rules (other than disputes whose resolution is provided for in rule </w:t>
      </w:r>
      <w:hyperlink r:id="rId38">
        <w:r>
          <w:rPr>
            <w:rStyle w:val="Hyperlink"/>
            <w:rFonts w:ascii="Times New Roman" w:hAnsi="Times New Roman"/>
            <w:b w:val="false"/>
            <w:i w:val="false"/>
            <w:color w:val="000000"/>
            <w:sz w:val="22"/>
          </w:rPr>
          <w:t>681—3.24</w:t>
        </w:r>
      </w:hyperlink>
      <w:r>
        <w:rPr>
          <w:rFonts w:ascii="Times New Roman" w:hAnsi="Times New Roman"/>
          <w:b w:val="false"/>
          <w:i w:val="false"/>
          <w:color w:val="000000"/>
          <w:sz w:val="22"/>
        </w:rPr>
        <w:t xml:space="preserve">(8A)) will be resolved in accordance with the following procedure, except at institutions where a varied procedure has been approved by the merit system director in accordance with subrule </w:t>
      </w:r>
      <w:hyperlink r:id="rId39">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Employees in an initial probationary period will be allowed access to the grievance procedure as outlined below, with the exception of dismissal during probation that cannot be appealed. A university representative may permit an oral presentation at any step if the university representative deems an oral presentation necessary. At each step of the grievance procedure, the employee may be represented by one or two coworkers of the employee’s choosing. The name of such representatives will be noted on the written grievance and on each subsequent appeal. Presentations, reviews, investigations, and hearings held under this procedure may be conducted during working hours, and employees who participate in such meetings will not suffer loss of pay as a result thereof.</w:t>
      </w:r>
    </w:p>
    <w:p>
      <w:pPr>
        <w:spacing w:before="0" w:after="0"/>
        <w:ind w:left="120"/>
        <w:jc w:val="both"/>
      </w:pPr>
      <w:r>
        <w:rPr>
          <w:rFonts w:ascii="Times New Roman" w:hAnsi="Times New Roman"/>
          <w:b w:val="false"/>
          <w:i w:val="false"/>
          <w:color w:val="000000"/>
          <w:sz w:val="22"/>
        </w:rPr>
        <w:t>If an employee does not appeal a decision rendered at any step of this procedure within the time prescribed by these rules, the decision will become final. If a university representative does not reply to an employee’s grievance or appeal within the prescribed time, the employee may proceed to the next step. With the consent of both parties, any of the time limits prescribed in these rules may be extended.</w:t>
      </w:r>
    </w:p>
    <w:p>
      <w:pPr>
        <w:spacing w:before="0" w:after="0"/>
        <w:ind w:left="120"/>
        <w:jc w:val="both"/>
      </w:pPr>
      <w:r>
        <w:rPr>
          <w:rFonts w:ascii="Times New Roman" w:hAnsi="Times New Roman"/>
          <w:b w:val="false"/>
          <w:i/>
          <w:color w:val="000000"/>
          <w:sz w:val="22"/>
        </w:rPr>
        <w:t>Step 1.</w:t>
      </w:r>
      <w:r>
        <w:rPr>
          <w:rFonts w:ascii="Times New Roman" w:hAnsi="Times New Roman"/>
          <w:b w:val="false"/>
          <w:i w:val="false"/>
          <w:color w:val="000000"/>
          <w:sz w:val="22"/>
        </w:rPr>
        <w:t xml:space="preserve"> An employee will first discuss the employee’s problem with their immediate supervisor. It is presumed the majority of issues will be resolved at this point. If the employee is dissatisfied after such discussion, the employee may, within 14 days after the occurrence of the matter leading to the grievance or within 14 days after such time the employee has, or could reasonably be expected to have, knowledge of such occurrence, file a written grievance with their department head or designee. A written grievance will contain a brief description of the complaint or dispute and the pertinent circumstances and dates of occurrence. It will specify the university or merit system rule allegedly violated and will state the corrective action desired by the employee. The grievance will be signed and dated by the employee. The department designee will review the grievance and notify the employee of the decision in writing within 14 days after receiving the grievance.</w:t>
      </w:r>
    </w:p>
    <w:p>
      <w:pPr>
        <w:spacing w:before="0" w:after="0"/>
        <w:ind w:left="120"/>
        <w:jc w:val="both"/>
      </w:pPr>
      <w:r>
        <w:rPr>
          <w:rFonts w:ascii="Times New Roman" w:hAnsi="Times New Roman"/>
          <w:b w:val="false"/>
          <w:i/>
          <w:color w:val="000000"/>
          <w:sz w:val="22"/>
        </w:rPr>
        <w:t>Step 2.</w:t>
      </w:r>
      <w:r>
        <w:rPr>
          <w:rFonts w:ascii="Times New Roman" w:hAnsi="Times New Roman"/>
          <w:b w:val="false"/>
          <w:i w:val="false"/>
          <w:color w:val="000000"/>
          <w:sz w:val="22"/>
        </w:rPr>
        <w:t xml:space="preserve"> If the employee is not satisfied with the decision of the department head or designee, the employee may within seven days after receiving that decision, appeal it to the dean of the college or the head of the major operating division or designee(s) in which the employee is employed. The dean or the division head and the resident director or designee(s) will jointly represent the university at this step of the appeal procedure. The appeal will be in writing and will include all of the information included in the initial grievance and subsequent appeals, all the decisions related thereto, and any other pertinent information the employee may wish to submit. The appeal will be signed and dated by the employee.</w:t>
      </w:r>
    </w:p>
    <w:p>
      <w:pPr>
        <w:spacing w:before="0" w:after="0"/>
        <w:ind w:left="120"/>
        <w:jc w:val="both"/>
      </w:pPr>
      <w:r>
        <w:rPr>
          <w:rFonts w:ascii="Times New Roman" w:hAnsi="Times New Roman"/>
          <w:b w:val="false"/>
          <w:i w:val="false"/>
          <w:color w:val="000000"/>
          <w:sz w:val="22"/>
        </w:rPr>
        <w:t>The dean of the college or head of the division and the resident director or designee(s) will investigate the grievance and may affirm, reverse, or modify the decision of the department head. The university representative will notify the employee of their decision in writing within 14 days after receiving the appeal.</w:t>
      </w:r>
    </w:p>
    <w:p>
      <w:pPr>
        <w:spacing w:before="0" w:after="0"/>
        <w:ind w:left="120"/>
        <w:jc w:val="both"/>
      </w:pPr>
      <w:r>
        <w:rPr>
          <w:rFonts w:ascii="Times New Roman" w:hAnsi="Times New Roman"/>
          <w:b w:val="false"/>
          <w:i/>
          <w:color w:val="000000"/>
          <w:sz w:val="22"/>
        </w:rPr>
        <w:t>Step 3.</w:t>
      </w:r>
      <w:r>
        <w:rPr>
          <w:rFonts w:ascii="Times New Roman" w:hAnsi="Times New Roman"/>
          <w:b w:val="false"/>
          <w:i w:val="false"/>
          <w:color w:val="000000"/>
          <w:sz w:val="22"/>
        </w:rPr>
        <w:t xml:space="preserve"> If the employee is not satisfied with the decision rendered at Step 2 of the grievance procedure, the employee may within seven days after receiving that decision appeal it to the chief administrator of the institution. The appeal will be in writing and will include all of the information included in the initial grievance and subsequent appeals, all decisions related thereto, and any other pertinent information the employee may wish to submit. The appeal will be signed and dated by the employee.</w:t>
      </w:r>
    </w:p>
    <w:p>
      <w:pPr>
        <w:spacing w:before="0" w:after="0"/>
        <w:ind w:left="120"/>
        <w:jc w:val="both"/>
      </w:pPr>
      <w:r>
        <w:rPr>
          <w:rFonts w:ascii="Times New Roman" w:hAnsi="Times New Roman"/>
          <w:b w:val="false"/>
          <w:i w:val="false"/>
          <w:color w:val="000000"/>
          <w:sz w:val="22"/>
        </w:rPr>
        <w:t>The chief administrator or the chief administrator’s designee will investigate the grievance and may affirm, reverse, or modify the decision rendered at Step 2. The university representative will notify the employee of their decision in writing within 14 days after receiving the appeal.</w:t>
      </w:r>
    </w:p>
    <w:p>
      <w:pPr>
        <w:spacing w:before="0" w:after="0"/>
        <w:ind w:left="120"/>
        <w:jc w:val="both"/>
      </w:pPr>
      <w:r>
        <w:rPr>
          <w:rFonts w:ascii="Times New Roman" w:hAnsi="Times New Roman"/>
          <w:b w:val="false"/>
          <w:i/>
          <w:color w:val="000000"/>
          <w:sz w:val="22"/>
        </w:rPr>
        <w:t>Step 4.</w:t>
      </w:r>
      <w:r>
        <w:rPr>
          <w:rFonts w:ascii="Times New Roman" w:hAnsi="Times New Roman"/>
          <w:b w:val="false"/>
          <w:i w:val="false"/>
          <w:color w:val="000000"/>
          <w:sz w:val="22"/>
        </w:rPr>
        <w:t xml:space="preserve"> If the employee is not satisfied with the decision rendered under Step 3 of the grievance procedure, the employee may within seven days after receiving that decision request a hearing before an arbitrator. Such a request will be in writing, will include all of the information included in the initial grievance and subsequent appeals, all of the decisions related thereto, and any other pertinent information the employee may wish to submit.</w:t>
      </w:r>
    </w:p>
    <w:p>
      <w:pPr>
        <w:spacing w:before="0" w:after="0"/>
        <w:ind w:left="120"/>
        <w:jc w:val="both"/>
      </w:pPr>
      <w:r>
        <w:rPr>
          <w:rFonts w:ascii="Times New Roman" w:hAnsi="Times New Roman"/>
          <w:b w:val="false"/>
          <w:i w:val="false"/>
          <w:color w:val="000000"/>
          <w:sz w:val="22"/>
        </w:rPr>
        <w:t xml:space="preserve">The appeal will be signed and dated by the employee and will be directed to the merit system director who will arrange for a hearing before an arbitrator as prescribed under subrule </w:t>
      </w:r>
      <w:hyperlink r:id="rId40">
        <w:r>
          <w:rPr>
            <w:rStyle w:val="Hyperlink"/>
            <w:rFonts w:ascii="Times New Roman" w:hAnsi="Times New Roman"/>
            <w:b w:val="false"/>
            <w:i w:val="false"/>
            <w:color w:val="000000"/>
            <w:sz w:val="22"/>
          </w:rPr>
          <w:t>3.25(2)</w:t>
        </w:r>
      </w:hyperlink>
      <w:r>
        <w:rPr>
          <w:rFonts w:ascii="Times New Roman" w:hAnsi="Times New Roman"/>
          <w:b w:val="false"/>
          <w:i w:val="false"/>
          <w:color w:val="000000"/>
          <w:sz w:val="22"/>
        </w:rPr>
        <w:t>. The arbitrator will be expected to render a decision within 30 calendar days following the conclusion of the hearing.</w:t>
      </w:r>
    </w:p>
    <w:p>
      <w:pPr>
        <w:spacing w:before="0" w:after="0"/>
        <w:ind w:left="120"/>
        <w:jc w:val="both"/>
      </w:pPr>
      <w:r>
        <w:rPr>
          <w:rFonts w:ascii="Times New Roman" w:hAnsi="Times New Roman"/>
          <w:b w:val="false"/>
          <w:i w:val="false"/>
          <w:color w:val="000000"/>
          <w:sz w:val="22"/>
        </w:rPr>
        <w:t>The merit system director shall have the right to rule whether a case is grievable and arbitrable under the merit system. The merit system director shall have the right to refuse to refer to arbitration any grievance not found to be in full compliance with these rules involving the grievance procedure. The board shall retain jurisdiction to review decisions of the merit system director as to whether a matter is grievable or arbitrable upon appeal by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w:t>
      </w:r>
      <w:r>
        <w:rPr>
          <w:rFonts w:ascii="Times New Roman" w:hAnsi="Times New Roman"/>
          <w:b w:val="false"/>
          <w:i w:val="false"/>
          <w:color w:val="000000"/>
          <w:sz w:val="22"/>
        </w:rPr>
        <w:t> </w:t>
      </w:r>
      <w:r>
        <w:rPr>
          <w:rFonts w:ascii="Times New Roman" w:hAnsi="Times New Roman"/>
          <w:b w:val="false"/>
          <w:i/>
          <w:color w:val="000000"/>
          <w:sz w:val="22"/>
        </w:rPr>
        <w:t xml:space="preserve">Institutional grievance procedure. </w:t>
      </w:r>
      <w:r>
        <w:rPr>
          <w:rFonts w:ascii="Times New Roman" w:hAnsi="Times New Roman"/>
          <w:b w:val="false"/>
          <w:i w:val="false"/>
          <w:color w:val="000000"/>
          <w:sz w:val="22"/>
        </w:rPr>
        <w:t xml:space="preserve">An institution may develop a grievance procedure for all or a segment of its employees that varies from the procedure prescribed in rule </w:t>
      </w:r>
      <w:hyperlink r:id="rId41">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provided that such a procedure begins with discussion between the employee and the employee’s immediate supervisor and provides for a final hearing in accordance with Step 4 of the grievance procedure prescribed herein. This institutional procedure will incorporate all the rights provided employees in this chapter, will be made known to the employees to whom it applies, and must be approved by the merit system director. In the absence of an approved institutional procedure, the procedure prescribed in rule </w:t>
      </w:r>
      <w:hyperlink r:id="rId42">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(8A)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3.25(2)</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The board will approve the use of a single arbitrator in hearing an appeal. The selection of the arbitrator shall be made from a panel of arbitrators as referred from the Federal Mediation and Conciliation Service or the Iowa employment appeal board with a preference for those Iowans so certified.</w:t>
      </w:r>
    </w:p>
    <w:p>
      <w:pPr>
        <w:spacing w:before="0" w:after="0"/>
        <w:ind w:left="120"/>
        <w:jc w:val="both"/>
      </w:pPr>
      <w:r>
        <w:rPr>
          <w:rFonts w:ascii="Times New Roman" w:hAnsi="Times New Roman"/>
          <w:b w:val="false"/>
          <w:i w:val="false"/>
          <w:color w:val="000000"/>
          <w:sz w:val="22"/>
        </w:rPr>
        <w:t>The arbitrator will hear a dispute appealed to the last step of the grievance procedure and render a decision thereon subject only to review by the courts.</w:t>
      </w:r>
    </w:p>
    <w:p>
      <w:pPr>
        <w:spacing w:before="0" w:after="0"/>
        <w:ind w:left="120"/>
        <w:jc w:val="both"/>
      </w:pPr>
      <w:r>
        <w:rPr>
          <w:rFonts w:ascii="Times New Roman" w:hAnsi="Times New Roman"/>
          <w:b w:val="false"/>
          <w:i w:val="false"/>
          <w:color w:val="000000"/>
          <w:sz w:val="22"/>
        </w:rPr>
        <w:t>The arbitrator will establish procedures for the conduct of the hearing in a fair and informal manner that will afford each party reasonable and ample opportunity for case presentation and to rebut the presentation of the other. The arbitrator will be expected to render a decision to the involved parties and to the board within the prescribed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LEAVES OF ABSENCE</w:t>
      </w:r>
    </w:p>
    <w:p>
      <w:pPr>
        <w:spacing w:before="0" w:after="0"/>
        <w:ind w:left="120"/>
        <w:jc w:val="both"/>
      </w:pPr>
      <w:r>
        <w:rPr>
          <w:rFonts w:ascii="Times New Roman" w:hAnsi="Times New Roman"/>
          <w:b/>
          <w:i w:val="false"/>
          <w:color w:val="000000"/>
          <w:sz w:val="22"/>
        </w:rPr>
        <w:t>681—3.26</w:t>
      </w:r>
      <w:r>
        <w:rPr>
          <w:rFonts w:ascii="Times New Roman" w:hAnsi="Times New Roman"/>
          <w:b/>
          <w:i w:val="false"/>
          <w:color w:val="000000"/>
          <w:sz w:val="22"/>
        </w:rPr>
        <w:t xml:space="preserve">(8A) </w:t>
      </w:r>
      <w:r>
        <w:rPr>
          <w:rFonts w:ascii="Times New Roman" w:hAnsi="Times New Roman"/>
          <w:b/>
          <w:i w:val="false"/>
          <w:color w:val="000000"/>
          <w:sz w:val="22"/>
        </w:rPr>
        <w:t xml:space="preserve">Sick leave. </w:t>
      </w:r>
      <w:r>
        <w:rPr>
          <w:rFonts w:ascii="Times New Roman" w:hAnsi="Times New Roman"/>
          <w:b w:val="false"/>
          <w:i w:val="false"/>
          <w:color w:val="000000"/>
          <w:sz w:val="22"/>
        </w:rPr>
        <w:t>An employee who is transferred, promoted or demoted from one position to another position under this system will not lose any accumulated sick leave as a result thereof.</w:t>
      </w:r>
    </w:p>
    <w:p>
      <w:pPr>
        <w:spacing w:before="0" w:after="0"/>
        <w:ind w:left="120"/>
        <w:jc w:val="both"/>
      </w:pPr>
      <w:r>
        <w:rPr>
          <w:rFonts w:ascii="Times New Roman" w:hAnsi="Times New Roman"/>
          <w:b w:val="false"/>
          <w:i w:val="false"/>
          <w:color w:val="000000"/>
          <w:sz w:val="22"/>
        </w:rPr>
        <w:t xml:space="preserve">A permanent employee who has recovered after exhausting all accumulated sick leave and vacation time and has a medical release to return to work will, at the employee’s request, be given recall priority consistent with subrule </w:t>
      </w:r>
      <w:hyperlink r:id="rId4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effective with the date the employee was released to return to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681—3.27</w:t>
      </w:r>
      <w:r>
        <w:rPr>
          <w:rFonts w:ascii="Times New Roman" w:hAnsi="Times New Roman"/>
          <w:b/>
          <w:i w:val="false"/>
          <w:color w:val="000000"/>
          <w:sz w:val="22"/>
        </w:rPr>
        <w:t xml:space="preserve">(8A) </w:t>
      </w:r>
      <w:r>
        <w:rPr>
          <w:rFonts w:ascii="Times New Roman" w:hAnsi="Times New Roman"/>
          <w:b/>
          <w:i w:val="false"/>
          <w:color w:val="000000"/>
          <w:sz w:val="22"/>
        </w:rPr>
        <w:t xml:space="preserve">Family care and funeral leave. </w:t>
      </w:r>
      <w:r>
        <w:rPr>
          <w:rFonts w:ascii="Times New Roman" w:hAnsi="Times New Roman"/>
          <w:b w:val="false"/>
          <w:i w:val="false"/>
          <w:color w:val="000000"/>
          <w:sz w:val="22"/>
        </w:rPr>
        <w:t>An employing department will, when satisfied by evidence presented, grant an employee time off with pay: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to exceed three days for each occurrence in the case of death in the employee’s immediate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to exceed one day for each occurrence for service as a pallbearer at the funeral of a person not a member of the employee’s immediate family;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 to exceed 40 hours a year for the care of or necessary attention of ill or injured members of the employee’s immediate family. An employee may carry over up to 40 hours of unused family care leave to the next year, for a maximum utilization of 80 hours in the next year.</w:t>
      </w:r>
    </w:p>
    <w:p>
      <w:pPr>
        <w:spacing w:before="0" w:after="0"/>
        <w:ind w:left="120"/>
        <w:jc w:val="both"/>
      </w:pPr>
      <w:r>
        <w:rPr>
          <w:rFonts w:ascii="Times New Roman" w:hAnsi="Times New Roman"/>
          <w:b w:val="false"/>
          <w:i w:val="false"/>
          <w:color w:val="000000"/>
          <w:sz w:val="22"/>
        </w:rPr>
        <w:t>All such time off will be charged to the employee’s sick leave and will not be granted in excess of the employee’s accrued leave. For the purpose of this rule, “immediate family” is defined as the employee’s spouse, children, grandchildren, foster children, stepchildren, legal wards, parents, grandparents, foster parents, stepparents, brothers, foster brothers, stepbrothers, sons-in-law, brothers-in-law, sisters, foster sisters, stepsisters, daughters-in-law, sisters-in-law, aunts, uncles, nieces, nephews, first cousins, corresponding relatives of the employee’s spouse, and other persons who are members of the employee’s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681—3.28</w:t>
      </w:r>
      <w:r>
        <w:rPr>
          <w:rFonts w:ascii="Times New Roman" w:hAnsi="Times New Roman"/>
          <w:b/>
          <w:i w:val="false"/>
          <w:color w:val="000000"/>
          <w:sz w:val="22"/>
        </w:rPr>
        <w:t xml:space="preserve">(8A) </w:t>
      </w:r>
      <w:r>
        <w:rPr>
          <w:rFonts w:ascii="Times New Roman" w:hAnsi="Times New Roman"/>
          <w:b/>
          <w:i w:val="false"/>
          <w:color w:val="000000"/>
          <w:sz w:val="22"/>
        </w:rPr>
        <w:t xml:space="preserve">Leave of absence without pay. </w:t>
      </w:r>
      <w:r>
        <w:rPr>
          <w:rFonts w:ascii="Times New Roman" w:hAnsi="Times New Roman"/>
          <w:b w:val="false"/>
          <w:i w:val="false"/>
          <w:color w:val="000000"/>
          <w:sz w:val="22"/>
        </w:rPr>
        <w:t>In the best interests of the institution and its employees and with approval of the resident director, a department head may grant an employee’s requests for a leave of absence without pay for up to one year. With the same approval, such a leave may be extended for no more than one additional year.</w:t>
      </w:r>
    </w:p>
    <w:p>
      <w:pPr>
        <w:spacing w:before="0" w:after="0"/>
        <w:ind w:left="120"/>
        <w:jc w:val="both"/>
      </w:pPr>
      <w:r>
        <w:rPr>
          <w:rFonts w:ascii="Times New Roman" w:hAnsi="Times New Roman"/>
          <w:b w:val="false"/>
          <w:i w:val="false"/>
          <w:color w:val="000000"/>
          <w:sz w:val="22"/>
        </w:rPr>
        <w:t>On conclusion of a leave of absence without pay, an employee, if qualified, will be returned to the position from which the employee was granted leave or to another position in the same class. If such a position no longer exists, the layoff provisions of these rules will take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44">
        <w:r>
          <w:rPr>
            <w:rStyle w:val="Hyperlink"/>
            <w:rFonts w:ascii="Times New Roman" w:hAnsi="Times New Roman"/>
            <w:b w:val="false"/>
            <w:i w:val="false"/>
            <w:color w:val="000000"/>
            <w:sz w:val="22"/>
          </w:rPr>
          <w:t>8A.412(5)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[Amended 7/13/71, 7/17/72, 9/21/72]</w:t>
      </w:r>
    </w:p>
    <w:p>
      <w:pPr>
        <w:spacing w:before="0" w:after="0"/>
        <w:ind w:left="120"/>
        <w:jc w:val="center"/>
      </w:pPr>
      <w:r>
        <w:rPr>
          <w:rFonts w:ascii="Times New Roman" w:hAnsi="Times New Roman"/>
          <w:b w:val="false"/>
          <w:i w:val="false"/>
          <w:color w:val="000000"/>
          <w:sz w:val="21"/>
        </w:rPr>
        <w:t>[Filed 11/19/75, Notice 10/6/75—published 12/15/75, effective 1/19/76]</w:t>
      </w:r>
    </w:p>
    <w:p>
      <w:pPr>
        <w:spacing w:before="0" w:after="0"/>
        <w:ind w:left="120"/>
        <w:jc w:val="center"/>
      </w:pPr>
      <w:r>
        <w:rPr>
          <w:rFonts w:ascii="Times New Roman" w:hAnsi="Times New Roman"/>
          <w:b w:val="false"/>
          <w:i w:val="false"/>
          <w:color w:val="000000"/>
          <w:sz w:val="21"/>
        </w:rPr>
        <w:t>[Filed 12/8/75, Notice 11/3/75—published 12/29/75, effective 2/2/76]</w:t>
      </w:r>
    </w:p>
    <w:p>
      <w:pPr>
        <w:spacing w:before="0" w:after="0"/>
        <w:ind w:left="120"/>
        <w:jc w:val="center"/>
      </w:pPr>
      <w:r>
        <w:rPr>
          <w:rFonts w:ascii="Times New Roman" w:hAnsi="Times New Roman"/>
          <w:b w:val="false"/>
          <w:i w:val="false"/>
          <w:color w:val="000000"/>
          <w:sz w:val="21"/>
        </w:rPr>
        <w:t>[Filed 4/26/76, Notice 3/22/76—published 5/17/76, effective 6/21/76]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emergency 7/15/77—published 8/10/77, effective 7/16/77]</w:t>
      </w:r>
    </w:p>
    <w:p>
      <w:pPr>
        <w:spacing w:before="0" w:after="0"/>
        <w:ind w:left="120"/>
        <w:jc w:val="center"/>
      </w:pPr>
      <w:r>
        <w:rPr>
          <w:rFonts w:ascii="Times New Roman" w:hAnsi="Times New Roman"/>
          <w:b w:val="false"/>
          <w:i w:val="false"/>
          <w:color w:val="000000"/>
          <w:sz w:val="21"/>
        </w:rPr>
        <w:t>[Filed emergency 2/1/78 after Notice 10/5/77—published 2/22/78, effective 2/1/78]</w:t>
      </w:r>
    </w:p>
    <w:p>
      <w:pPr>
        <w:spacing w:before="0" w:after="0"/>
        <w:ind w:left="120"/>
        <w:jc w:val="center"/>
      </w:pPr>
      <w:r>
        <w:rPr>
          <w:rFonts w:ascii="Times New Roman" w:hAnsi="Times New Roman"/>
          <w:b w:val="false"/>
          <w:i w:val="false"/>
          <w:color w:val="000000"/>
          <w:sz w:val="21"/>
        </w:rPr>
        <w:t>[Filed emergency 6/29/78—published 7/26/78, effective 7/1/78]</w:t>
      </w:r>
    </w:p>
    <w:p>
      <w:pPr>
        <w:spacing w:before="0" w:after="0"/>
        <w:ind w:left="120"/>
        <w:jc w:val="center"/>
      </w:pPr>
      <w:r>
        <w:rPr>
          <w:rFonts w:ascii="Times New Roman" w:hAnsi="Times New Roman"/>
          <w:b w:val="false"/>
          <w:i w:val="false"/>
          <w:color w:val="000000"/>
          <w:sz w:val="21"/>
        </w:rPr>
        <w:t>[Filed 9/10/79, Notice 7/25/79—published 10/3/79, effective 11/7/79]</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7/24/95, Notice 6/7/95—published 8/16/95, effective 9/20/95]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9/21/95—published 10/11/95, effective 9/22/95]</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12/14/05, Notice 10/12/05—published 1/4/06, effective 2/8/06]</w:t>
      </w:r>
    </w:p>
    <w:p>
      <w:pPr>
        <w:spacing w:before="0" w:after="0"/>
        <w:ind w:left="120"/>
        <w:jc w:val="center"/>
      </w:pPr>
      <w:r>
        <w:rPr>
          <w:rFonts w:ascii="Times New Roman" w:hAnsi="Times New Roman"/>
          <w:b w:val="false"/>
          <w:i w:val="false"/>
          <w:color w:val="000000"/>
          <w:sz w:val="21"/>
        </w:rPr>
        <w:t>[Filed ARC 9812B</w:t>
      </w:r>
      <w:r>
        <w:rPr>
          <w:rFonts w:ascii="Times New Roman" w:hAnsi="Times New Roman"/>
          <w:b w:val="false"/>
          <w:i w:val="false"/>
          <w:color w:val="000000"/>
          <w:sz w:val="21"/>
        </w:rPr>
        <w:t xml:space="preserve"> (Notice ARC 9597B, IAB 7/13/11)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5/11/71; amended 7/12/71, 7/13/71,</w:t>
      </w:r>
    </w:p>
    <w:p>
      <w:pPr>
        <w:spacing w:before="0" w:after="0"/>
        <w:ind w:left="120"/>
        <w:jc w:val="center"/>
      </w:pPr>
      <w:r>
        <w:rPr>
          <w:rFonts w:ascii="Times New Roman" w:hAnsi="Times New Roman"/>
          <w:b w:val="false"/>
          <w:i w:val="false"/>
          <w:color w:val="000000"/>
          <w:sz w:val="21"/>
        </w:rPr>
        <w:t>6/14/72, 7/17/72, 9/21/72, 8/17/73, 8/15/74, 11/4/74, 3/11/75]</w:t>
      </w:r>
    </w:p>
    <w:p>
      <w:pPr>
        <w:spacing w:before="0" w:after="0"/>
        <w:ind w:left="120"/>
        <w:jc w:val="center"/>
      </w:pPr>
      <w:r>
        <w:rPr>
          <w:rFonts w:ascii="Times New Roman" w:hAnsi="Times New Roman"/>
          <w:b w:val="false"/>
          <w:i w:val="false"/>
          <w:color w:val="000000"/>
          <w:sz w:val="21"/>
        </w:rPr>
        <w:t>[Emergency amendment filed 10/23/75—published 11/3/75, effective 10/23/75]</w:t>
      </w:r>
    </w:p>
    <w:p>
      <w:pPr>
        <w:spacing w:before="0" w:after="0"/>
        <w:ind w:left="120"/>
        <w:jc w:val="center"/>
      </w:pPr>
      <w:r>
        <w:rPr>
          <w:rFonts w:ascii="Times New Roman" w:hAnsi="Times New Roman"/>
          <w:b w:val="false"/>
          <w:i w:val="false"/>
          <w:color w:val="000000"/>
          <w:sz w:val="21"/>
        </w:rPr>
        <w:t>[Filed 11/19/75, Notice 10/6/75—published 12/15/75, effective 1/19/76]</w:t>
      </w:r>
    </w:p>
    <w:p>
      <w:pPr>
        <w:spacing w:before="0" w:after="0"/>
        <w:ind w:left="120"/>
        <w:jc w:val="center"/>
      </w:pPr>
      <w:r>
        <w:rPr>
          <w:rFonts w:ascii="Times New Roman" w:hAnsi="Times New Roman"/>
          <w:b w:val="false"/>
          <w:i w:val="false"/>
          <w:color w:val="000000"/>
          <w:sz w:val="21"/>
        </w:rPr>
        <w:t>[Filed 12/8/75, Notice 11/3/75—published 12/29/75, effective 2/2/76]</w:t>
      </w:r>
    </w:p>
    <w:p>
      <w:pPr>
        <w:spacing w:before="0" w:after="0"/>
        <w:ind w:left="120"/>
        <w:jc w:val="center"/>
      </w:pPr>
      <w:r>
        <w:rPr>
          <w:rFonts w:ascii="Times New Roman" w:hAnsi="Times New Roman"/>
          <w:b w:val="false"/>
          <w:i w:val="false"/>
          <w:color w:val="000000"/>
          <w:sz w:val="21"/>
        </w:rPr>
        <w:t>[Filed 4/26/76, Notice 3/22/76—published 5/17/76, effective 6/21/76]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emergency 7/15/77—published 8/10/77, effective 7/16/77]</w:t>
      </w:r>
    </w:p>
    <w:p>
      <w:pPr>
        <w:spacing w:before="0" w:after="0"/>
        <w:ind w:left="120"/>
        <w:jc w:val="center"/>
      </w:pPr>
      <w:r>
        <w:rPr>
          <w:rFonts w:ascii="Times New Roman" w:hAnsi="Times New Roman"/>
          <w:b w:val="false"/>
          <w:i w:val="false"/>
          <w:color w:val="000000"/>
          <w:sz w:val="21"/>
        </w:rPr>
        <w:t>[Filed emergency 2/1/78 after Notice 10/5/77—published 2/22/78, effective 2/1/78]</w:t>
      </w:r>
    </w:p>
    <w:p>
      <w:pPr>
        <w:spacing w:before="0" w:after="0"/>
        <w:ind w:left="120"/>
        <w:jc w:val="center"/>
      </w:pPr>
      <w:r>
        <w:rPr>
          <w:rFonts w:ascii="Times New Roman" w:hAnsi="Times New Roman"/>
          <w:b w:val="false"/>
          <w:i w:val="false"/>
          <w:color w:val="000000"/>
          <w:sz w:val="21"/>
        </w:rPr>
        <w:t>[Filed emergency 6/29/78—published 7/26/78, effective 7/1/78]</w:t>
      </w:r>
    </w:p>
    <w:p>
      <w:pPr>
        <w:spacing w:before="0" w:after="0"/>
        <w:ind w:left="120"/>
        <w:jc w:val="center"/>
      </w:pPr>
      <w:r>
        <w:rPr>
          <w:rFonts w:ascii="Times New Roman" w:hAnsi="Times New Roman"/>
          <w:b w:val="false"/>
          <w:i w:val="false"/>
          <w:color w:val="000000"/>
          <w:sz w:val="21"/>
        </w:rPr>
        <w:t>[Filed 9/10/79, Notice 7/25/79—published 10/3/79, effective 11/7/79]</w:t>
      </w:r>
    </w:p>
    <w:p>
      <w:pPr>
        <w:spacing w:before="0" w:after="0"/>
        <w:ind w:left="120"/>
        <w:jc w:val="center"/>
      </w:pPr>
      <w:r>
        <w:rPr>
          <w:rFonts w:ascii="Times New Roman" w:hAnsi="Times New Roman"/>
          <w:b w:val="false"/>
          <w:i w:val="false"/>
          <w:color w:val="000000"/>
          <w:sz w:val="21"/>
        </w:rPr>
        <w:t>[Filed 9/24/80, Notice 8/6/80—published 10/15/80, effective 11/19/80]</w:t>
      </w:r>
    </w:p>
    <w:p>
      <w:pPr>
        <w:spacing w:before="0" w:after="0"/>
        <w:ind w:left="120"/>
        <w:jc w:val="center"/>
      </w:pPr>
      <w:r>
        <w:rPr>
          <w:rFonts w:ascii="Times New Roman" w:hAnsi="Times New Roman"/>
          <w:b w:val="false"/>
          <w:i w:val="false"/>
          <w:color w:val="000000"/>
          <w:sz w:val="21"/>
        </w:rPr>
        <w:t>[Filed emergency 12/29/80—published 1/21/81, effective 1/2/81]</w:t>
      </w:r>
    </w:p>
    <w:p>
      <w:pPr>
        <w:spacing w:before="0" w:after="0"/>
        <w:ind w:left="120"/>
        <w:jc w:val="center"/>
      </w:pPr>
      <w:r>
        <w:rPr>
          <w:rFonts w:ascii="Times New Roman" w:hAnsi="Times New Roman"/>
          <w:b w:val="false"/>
          <w:i w:val="false"/>
          <w:color w:val="000000"/>
          <w:sz w:val="21"/>
        </w:rPr>
        <w:t>[Filed 5/6/82, Notice 3/31/82—published 5/26/82, effective 6/20/82]</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9/23/82, Notice 8/3/83—published 10/12/83, effective 11/16/83]</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10/2/84, Notice 7/4/84—published 10/24/84, effective 11/28/84]</w:t>
      </w:r>
    </w:p>
    <w:p>
      <w:pPr>
        <w:spacing w:before="0" w:after="0"/>
        <w:ind w:left="120"/>
        <w:jc w:val="center"/>
      </w:pPr>
      <w:r>
        <w:rPr>
          <w:rFonts w:ascii="Times New Roman" w:hAnsi="Times New Roman"/>
          <w:b w:val="false"/>
          <w:i w:val="false"/>
          <w:color w:val="000000"/>
          <w:sz w:val="21"/>
        </w:rPr>
        <w:t>[Filed 2/22/85, Notice 12/19/84—published 3/13/85, effective 4/17/85]</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emergency 10/2/85—published 10/23/85, effective 10/4/85]</w:t>
      </w:r>
    </w:p>
    <w:p>
      <w:pPr>
        <w:spacing w:before="0" w:after="0"/>
        <w:ind w:left="120"/>
        <w:jc w:val="center"/>
      </w:pPr>
      <w:r>
        <w:rPr>
          <w:rFonts w:ascii="Times New Roman" w:hAnsi="Times New Roman"/>
          <w:b w:val="false"/>
          <w:i w:val="false"/>
          <w:color w:val="000000"/>
          <w:sz w:val="21"/>
        </w:rPr>
        <w:t>[Filed emergency 6/13/86—published 7/2/86, effective 7/1/86]</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3/31/88, Notice 1/27/88—published 4/20/88, effective 5/25/88]</w:t>
      </w:r>
    </w:p>
    <w:p>
      <w:pPr>
        <w:spacing w:before="0" w:after="0"/>
        <w:ind w:left="120"/>
        <w:jc w:val="center"/>
      </w:pPr>
      <w:r>
        <w:rPr>
          <w:rFonts w:ascii="Times New Roman" w:hAnsi="Times New Roman"/>
          <w:b w:val="false"/>
          <w:i w:val="false"/>
          <w:color w:val="000000"/>
          <w:sz w:val="21"/>
        </w:rPr>
        <w:t>[Filed 5/27/88, Notice 4/20/88—published 6/15/88, effective 7/20/88]</w:t>
      </w:r>
    </w:p>
    <w:p>
      <w:pPr>
        <w:spacing w:before="0" w:after="0"/>
        <w:ind w:left="120"/>
        <w:jc w:val="center"/>
      </w:pPr>
      <w:r>
        <w:rPr>
          <w:rFonts w:ascii="Times New Roman" w:hAnsi="Times New Roman"/>
          <w:b w:val="false"/>
          <w:i w:val="false"/>
          <w:color w:val="000000"/>
          <w:sz w:val="21"/>
        </w:rPr>
        <w:t>[Filed 9/29/89, Notice 7/26/89—published 10/18/89, effective 11/22/89]</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7/19/90, Notice 6/13/90—published 8/8/90, effective 9/12/90]</w:t>
      </w:r>
    </w:p>
    <w:p>
      <w:pPr>
        <w:spacing w:before="0" w:after="0"/>
        <w:ind w:left="120"/>
        <w:jc w:val="center"/>
      </w:pPr>
      <w:r>
        <w:rPr>
          <w:rFonts w:ascii="Times New Roman" w:hAnsi="Times New Roman"/>
          <w:b w:val="false"/>
          <w:i w:val="false"/>
          <w:color w:val="000000"/>
          <w:sz w:val="21"/>
        </w:rPr>
        <w:t>[Filed 9/24/92, Notice 8/5/92—published 10/14/92, effective 11/18/92]</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7/24/95, Notice 6/7/95—published 8/16/95, effective 9/20/95]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9/21/95—published 10/11/95, effective 9/22/95]</w:t>
      </w:r>
    </w:p>
    <w:p>
      <w:pPr>
        <w:spacing w:before="0" w:after="0"/>
        <w:ind w:left="120"/>
        <w:jc w:val="center"/>
      </w:pPr>
      <w:r>
        <w:rPr>
          <w:rFonts w:ascii="Times New Roman" w:hAnsi="Times New Roman"/>
          <w:b w:val="false"/>
          <w:i w:val="false"/>
          <w:color w:val="000000"/>
          <w:sz w:val="21"/>
        </w:rPr>
        <w:t>[Filed 12/23/97, Notice 11/5/97—published 1/14/98, effective 2/18/98]</w:t>
      </w:r>
    </w:p>
    <w:p>
      <w:pPr>
        <w:spacing w:before="0" w:after="0"/>
        <w:ind w:left="120"/>
        <w:jc w:val="center"/>
      </w:pPr>
      <w:r>
        <w:rPr>
          <w:rFonts w:ascii="Times New Roman" w:hAnsi="Times New Roman"/>
          <w:b w:val="false"/>
          <w:i w:val="false"/>
          <w:color w:val="000000"/>
          <w:sz w:val="21"/>
        </w:rPr>
        <w:t>[Filed emergency 11/8/01—published 11/28/01, effective 11/8/01]</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4/23/04, Notice 3/3/04—published 5/12/04, effective 6/16/04]</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12/14/05, Notice 10/12/05—published 1/4/06, effective 2/8/06]</w:t>
      </w:r>
    </w:p>
    <w:p>
      <w:pPr>
        <w:spacing w:before="0" w:after="0"/>
        <w:ind w:left="120"/>
        <w:jc w:val="center"/>
      </w:pPr>
      <w:r>
        <w:rPr>
          <w:rFonts w:ascii="Times New Roman" w:hAnsi="Times New Roman"/>
          <w:b w:val="false"/>
          <w:i w:val="false"/>
          <w:color w:val="000000"/>
          <w:sz w:val="21"/>
        </w:rPr>
        <w:t>[Filed ARC 9812B</w:t>
      </w:r>
      <w:r>
        <w:rPr>
          <w:rFonts w:ascii="Times New Roman" w:hAnsi="Times New Roman"/>
          <w:b w:val="false"/>
          <w:i w:val="false"/>
          <w:color w:val="000000"/>
          <w:sz w:val="21"/>
        </w:rPr>
        <w:t xml:space="preserve"> (Notice ARC 9597B, IAB 7/13/11)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Emergency After Notice ARC 3229C</w:t>
      </w:r>
      <w:r>
        <w:rPr>
          <w:rFonts w:ascii="Times New Roman" w:hAnsi="Times New Roman"/>
          <w:b w:val="false"/>
          <w:i w:val="false"/>
          <w:color w:val="000000"/>
          <w:sz w:val="21"/>
        </w:rPr>
        <w:t xml:space="preserve"> (Notice ARC 3071C, IAB 5/24/17)</w:t>
      </w:r>
      <w:r>
        <w:rPr>
          <w:rFonts w:ascii="Times New Roman" w:hAnsi="Times New Roman"/>
          <w:b w:val="false"/>
          <w:i w:val="false"/>
          <w:color w:val="000000"/>
          <w:sz w:val="21"/>
        </w:rPr>
        <w:t>, IAB 8/2/17, effective 7/1/17]</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5947C</w:t>
      </w:r>
      <w:r>
        <w:rPr>
          <w:rFonts w:ascii="Times New Roman" w:hAnsi="Times New Roman"/>
          <w:b w:val="false"/>
          <w:i w:val="false"/>
          <w:color w:val="000000"/>
          <w:sz w:val="21"/>
        </w:rPr>
        <w:t xml:space="preserve"> (Notice ARC 5695C,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0418D</w:t>
      </w:r>
      <w:r>
        <w:rPr>
          <w:rFonts w:ascii="Times New Roman" w:hAnsi="Times New Roman"/>
          <w:b w:val="false"/>
          <w:i w:val="false"/>
          <w:color w:val="000000"/>
          <w:sz w:val="21"/>
        </w:rPr>
        <w:t xml:space="preserve"> (Notice ARC 0162D, IAB 4/1/26)</w:t>
      </w:r>
      <w:r>
        <w:rPr>
          <w:rFonts w:ascii="Times New Roman" w:hAnsi="Times New Roman"/>
          <w:b w:val="false"/>
          <w:i w:val="false"/>
          <w:color w:val="000000"/>
          <w:sz w:val="21"/>
        </w:rPr>
        <w:t>, IAB 7/8/26, effective 8/12/26]</w:t>
      </w:r>
    </w:p>
    <w:p>
      <w:pPr>
        <w:pBdr>
          <w:bottom w:space="2"/>
        </w:pBdr>
        <w:spacing w:before="0" w:after="0"/>
        <w:ind w:left="120"/>
        <w:jc w:val="both"/>
      </w:pPr>
      <w:r>
        <w:rPr>
          <w:rFonts w:ascii="Times New Roman" w:hAnsi="Times New Roman"/>
          <w:b w:val="false"/>
          <w:i w:val="false"/>
          <w:color w:val="000000"/>
          <w:sz w:val="22"/>
        </w:rPr>
        <w:t>Effective date of 9/20/95 for amendments to 681—3.14(19A), definition of “Probationary period”; 3.39(12); 3.102(1), delayed 70 days by the Administrative Rules Review Committee at its meeting held September 13, 1995. Delay lifted by this Committee November 13, 1995, effective November 14, 1995.</w:t>
      </w:r>
    </w:p>
    <w:sectPr>
      <w:footerReference r:id="rId4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412.pdf" Type="http://schemas.openxmlformats.org/officeDocument/2006/relationships/hyperlink" Id="rId5"/>
    <Relationship TargetMode="External" Target="https://www.legis.iowa.gov/docs/iac/rule/681.3.16.pdf" Type="http://schemas.openxmlformats.org/officeDocument/2006/relationships/hyperlink" Id="rId6"/>
    <Relationship TargetMode="External" Target="https://www.legis.iowa.gov/docs/iac/rule/681.3.24.pdf" Type="http://schemas.openxmlformats.org/officeDocument/2006/relationships/hyperlink" Id="rId7"/>
    <Relationship TargetMode="External" Target="https://www.legis.iowa.gov/docs/iac/rule/681.3.6.pdf" Type="http://schemas.openxmlformats.org/officeDocument/2006/relationships/hyperlink" Id="rId8"/>
    <Relationship TargetMode="External" Target="https://www.legis.iowa.gov/docs/iac/rule/681.3.8.pdf" Type="http://schemas.openxmlformats.org/officeDocument/2006/relationships/hyperlink" Id="rId9"/>
    <Relationship TargetMode="External" Target="https://www.legis.iowa.gov/docs/iac/rule/681.3.8.pdf" Type="http://schemas.openxmlformats.org/officeDocument/2006/relationships/hyperlink" Id="rId10"/>
    <Relationship TargetMode="External" Target="https://www.legis.iowa.gov/docs/iac/rule/681.3.19.pdf" Type="http://schemas.openxmlformats.org/officeDocument/2006/relationships/hyperlink" Id="rId11"/>
    <Relationship TargetMode="External" Target="https://www.legis.iowa.gov/docs/iac/rule/681.3.8.pdf" Type="http://schemas.openxmlformats.org/officeDocument/2006/relationships/hyperlink" Id="rId12"/>
    <Relationship TargetMode="External" Target="https://www.legis.iowa.gov/docs/iac/rule/681.3.8.pdf" Type="http://schemas.openxmlformats.org/officeDocument/2006/relationships/hyperlink" Id="rId13"/>
    <Relationship TargetMode="External" Target="https://www.legis.iowa.gov/docs/iac/rule/681.3.8.pdf" Type="http://schemas.openxmlformats.org/officeDocument/2006/relationships/hyperlink" Id="rId14"/>
    <Relationship TargetMode="External" Target="https://www.legis.iowa.gov/docs/iac/rule/681.3.8.pdf" Type="http://schemas.openxmlformats.org/officeDocument/2006/relationships/hyperlink" Id="rId15"/>
    <Relationship TargetMode="External" Target="https://www.legis.iowa.gov/docs/iac/rule/681.3.8.pdf" Type="http://schemas.openxmlformats.org/officeDocument/2006/relationships/hyperlink" Id="rId16"/>
    <Relationship TargetMode="External" Target="https://www.legis.iowa.gov/docs/iac/rule/681.3.8.pdf" Type="http://schemas.openxmlformats.org/officeDocument/2006/relationships/hyperlink" Id="rId17"/>
    <Relationship TargetMode="External" Target="https://www.legis.iowa.gov/docs/iac/rule/681.3.8.pdf" Type="http://schemas.openxmlformats.org/officeDocument/2006/relationships/hyperlink" Id="rId18"/>
    <Relationship TargetMode="External" Target="https://www.legis.iowa.gov/docs/iac/rule/681.3.14.pdf" Type="http://schemas.openxmlformats.org/officeDocument/2006/relationships/hyperlink" Id="rId19"/>
    <Relationship TargetMode="External" Target="https://www.legis.iowa.gov/docs/iac/rule/681.3.8.pdf" Type="http://schemas.openxmlformats.org/officeDocument/2006/relationships/hyperlink" Id="rId20"/>
    <Relationship TargetMode="External" Target="https://www.legis.iowa.gov/docs/iac/rule/681.3.21.pdf" Type="http://schemas.openxmlformats.org/officeDocument/2006/relationships/hyperlink" Id="rId21"/>
    <Relationship TargetMode="External" Target="https://www.legis.iowa.gov/docs/iac/rule/681.3.21.pdf" Type="http://schemas.openxmlformats.org/officeDocument/2006/relationships/hyperlink" Id="rId22"/>
    <Relationship TargetMode="External" Target="https://www.legis.iowa.gov/docs/iac/rule/681.3.25.pdf" Type="http://schemas.openxmlformats.org/officeDocument/2006/relationships/hyperlink" Id="rId23"/>
    <Relationship TargetMode="External" Target="https://www.legis.iowa.gov/docs/iac/rule/681.3.25.pdf" Type="http://schemas.openxmlformats.org/officeDocument/2006/relationships/hyperlink" Id="rId24"/>
    <Relationship TargetMode="External" Target="https://www.legis.iowa.gov/docs/iac/rule/681.3.22.pdf" Type="http://schemas.openxmlformats.org/officeDocument/2006/relationships/hyperlink" Id="rId25"/>
    <Relationship TargetMode="External" Target="https://www.legis.iowa.gov/docs/iac/rule/681.3.21.pdf" Type="http://schemas.openxmlformats.org/officeDocument/2006/relationships/hyperlink" Id="rId26"/>
    <Relationship TargetMode="External" Target="https://www.legis.iowa.gov/docs/iac/rule/681.3.21.pdf" Type="http://schemas.openxmlformats.org/officeDocument/2006/relationships/hyperlink" Id="rId27"/>
    <Relationship TargetMode="External" Target="https://www.legis.iowa.gov/docs/iac/rule/681.3.26.pdf" Type="http://schemas.openxmlformats.org/officeDocument/2006/relationships/hyperlink" Id="rId28"/>
    <Relationship TargetMode="External" Target="https://www.legis.iowa.gov/docs/iac/rule/681.3.18.pdf" Type="http://schemas.openxmlformats.org/officeDocument/2006/relationships/hyperlink" Id="rId29"/>
    <Relationship TargetMode="External" Target="https://www.legis.iowa.gov/docs/iac/rule/681.3.25.pdf" Type="http://schemas.openxmlformats.org/officeDocument/2006/relationships/hyperlink" Id="rId30"/>
    <Relationship TargetMode="External" Target="https://www.legis.iowa.gov/docs/iac/rule/681.3.25.pdf" Type="http://schemas.openxmlformats.org/officeDocument/2006/relationships/hyperlink" Id="rId31"/>
    <Relationship TargetMode="External" Target="https://www.legis.iowa.gov/docs/iac/rule/681.3.25.pdf" Type="http://schemas.openxmlformats.org/officeDocument/2006/relationships/hyperlink" Id="rId32"/>
    <Relationship TargetMode="External" Target="https://www.legis.iowa.gov/docs/iac/rule/681.3.25.pdf" Type="http://schemas.openxmlformats.org/officeDocument/2006/relationships/hyperlink" Id="rId33"/>
    <Relationship TargetMode="External" Target="https://www.legis.iowa.gov/docs/iac/rule/681.3.25.pdf" Type="http://schemas.openxmlformats.org/officeDocument/2006/relationships/hyperlink" Id="rId34"/>
    <Relationship TargetMode="External" Target="https://www.legis.iowa.gov/docs/iac/rule/681.3.25.pdf" Type="http://schemas.openxmlformats.org/officeDocument/2006/relationships/hyperlink" Id="rId35"/>
    <Relationship TargetMode="External" Target="https://www.legis.iowa.gov/docs/iac/rule/681.3.25.pdf" Type="http://schemas.openxmlformats.org/officeDocument/2006/relationships/hyperlink" Id="rId36"/>
    <Relationship TargetMode="External" Target="https://www.legis.iowa.gov/docs/iac/rule/681.3.25.pdf" Type="http://schemas.openxmlformats.org/officeDocument/2006/relationships/hyperlink" Id="rId37"/>
    <Relationship TargetMode="External" Target="https://www.legis.iowa.gov/docs/iac/rule/681.3.24.pdf" Type="http://schemas.openxmlformats.org/officeDocument/2006/relationships/hyperlink" Id="rId38"/>
    <Relationship TargetMode="External" Target="https://www.legis.iowa.gov/docs/iac/rule/681.3.25.pdf" Type="http://schemas.openxmlformats.org/officeDocument/2006/relationships/hyperlink" Id="rId39"/>
    <Relationship TargetMode="External" Target="https://www.legis.iowa.gov/docs/iac/rule/681.3.25.pdf" Type="http://schemas.openxmlformats.org/officeDocument/2006/relationships/hyperlink" Id="rId40"/>
    <Relationship TargetMode="External" Target="https://www.legis.iowa.gov/docs/iac/rule/681.3.25.pdf" Type="http://schemas.openxmlformats.org/officeDocument/2006/relationships/hyperlink" Id="rId41"/>
    <Relationship TargetMode="External" Target="https://www.legis.iowa.gov/docs/iac/rule/681.3.25.pdf" Type="http://schemas.openxmlformats.org/officeDocument/2006/relationships/hyperlink" Id="rId42"/>
    <Relationship TargetMode="External" Target="https://www.legis.iowa.gov/docs/iac/rule/681.3.21.pdf" Type="http://schemas.openxmlformats.org/officeDocument/2006/relationships/hyperlink" Id="rId43"/>
    <Relationship TargetMode="External" Target="https://www.legis.iowa.gov/docs/ico/chapter/8A.412.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