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2506</w:t>
      </w:r>
    </w:p>
    <w:p>
      <w:pPr>
        <w:spacing w:before="0" w:after="0"/>
        <w:ind w:left="120"/>
        <w:jc w:val="center"/>
      </w:pPr>
      <w:r>
        <w:rPr>
          <w:rFonts w:ascii="Times New Roman" w:hAnsi="Times New Roman"/>
          <w:b w:val="false"/>
          <w:i w:val="false"/>
          <w:color w:val="000000"/>
          <w:sz w:val="21"/>
        </w:rPr>
        <w:t>CONTESTED CASES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8/13/31</w:t>
      </w:r>
    </w:p>
    <w:p>
      <w:pPr>
        <w:spacing w:before="0" w:after="0"/>
        <w:ind w:left="120"/>
        <w:jc w:val="both"/>
      </w:pPr>
      <w:r>
        <w:rPr>
          <w:rFonts w:ascii="Times New Roman" w:hAnsi="Times New Roman"/>
          <w:b w:val="false"/>
          <w:i w:val="false"/>
          <w:color w:val="000000"/>
          <w:sz w:val="22"/>
        </w:rPr>
        <w:t xml:space="preserve">The Uniform Rules on Agency Procedure, </w:t>
      </w:r>
      <w:hyperlink r:id="rId5">
        <w:r>
          <w:rPr>
            <w:rStyle w:val="Hyperlink"/>
            <w:rFonts w:ascii="Times New Roman" w:hAnsi="Times New Roman"/>
            <w:b w:val="false"/>
            <w:i w:val="false"/>
            <w:color w:val="000000"/>
            <w:sz w:val="22"/>
          </w:rPr>
          <w:t>7—Chapters 2500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2506</w:t>
        </w:r>
      </w:hyperlink>
      <w:r>
        <w:rPr>
          <w:rFonts w:ascii="Times New Roman" w:hAnsi="Times New Roman"/>
          <w:b w:val="false"/>
          <w:i w:val="false"/>
          <w:color w:val="000000"/>
          <w:sz w:val="22"/>
        </w:rPr>
        <w:t xml:space="preserve">, are rules generally applicable to agencies pursuant to Iowa Code section </w:t>
      </w:r>
      <w:hyperlink r:id="rId7">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Additions, exceptions, or amendments to the corresponding chapter are below.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0554D</w:t>
      </w:r>
      <w:r>
        <w:rPr>
          <w:rFonts w:ascii="Times New Roman" w:hAnsi="Times New Roman"/>
          <w:b w:val="false"/>
          <w:i w:val="false"/>
          <w:color w:val="000000"/>
          <w:sz w:val="16"/>
        </w:rPr>
        <w:t>, IAB 9/2/26, effective 8/13/26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681—2506.27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review—actions by regents institution.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in a case involving an appeal of action or proposed action by a regents institution to the president of the regents institution within 20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president of the regents institution may initiate review of a proposed decision on the president’s own motion at any time within 20 days following the issuance of such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president of the regents institution. The notice of appeal is to be signed by the appealing party or a representative of that party and contain a certificate of service. The notice will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to submit additional evidence. The request must be filed with the notice of appeal, if by an appealing party, or within ten days of service of the notice of appeal, if by a nonappealing party. The president of the regents institution will take additional evidence only if the party establishes that the evidence is material, that good cause existed for it not being presented at the hearing, and that the party has not waived the right to present evidence. The president of the regents institution may either remand a case to the presiding officer to take additional evidence or may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president of the regents institution will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will include any applicable legal authority and specify relevant portions of the record in that proceeding. Written requests to present oral arguments will be filed with the briefs. The president of the regents institution may resolve the appeal on the briefs or provide an opportunity for oral argument. The president of the regents institution may shorten or extend the briefing period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2506.27(7)</w:t>
      </w:r>
      <w:r>
        <w:rPr>
          <w:rFonts w:ascii="Times New Roman" w:hAnsi="Times New Roman"/>
          <w:b w:val="false"/>
          <w:i w:val="false"/>
          <w:color w:val="000000"/>
          <w:sz w:val="22"/>
        </w:rPr>
        <w:t> </w:t>
      </w:r>
      <w:r>
        <w:rPr>
          <w:rFonts w:ascii="Times New Roman" w:hAnsi="Times New Roman"/>
          <w:b w:val="false"/>
          <w:i/>
          <w:color w:val="000000"/>
          <w:sz w:val="22"/>
        </w:rPr>
        <w:t xml:space="preserve">Appeals to the board. </w:t>
      </w:r>
      <w:r>
        <w:rPr>
          <w:rFonts w:ascii="Times New Roman" w:hAnsi="Times New Roman"/>
          <w:b w:val="false"/>
          <w:i w:val="false"/>
          <w:color w:val="000000"/>
          <w:sz w:val="22"/>
        </w:rPr>
        <w:t xml:space="preserve">Rule </w:t>
      </w:r>
      <w:hyperlink r:id="rId8">
        <w:r>
          <w:rPr>
            <w:rStyle w:val="Hyperlink"/>
            <w:rFonts w:ascii="Times New Roman" w:hAnsi="Times New Roman"/>
            <w:b w:val="false"/>
            <w:i w:val="false"/>
            <w:color w:val="000000"/>
            <w:sz w:val="22"/>
          </w:rPr>
          <w:t>681—2506.32</w:t>
        </w:r>
      </w:hyperlink>
      <w:r>
        <w:rPr>
          <w:rFonts w:ascii="Times New Roman" w:hAnsi="Times New Roman"/>
          <w:b w:val="false"/>
          <w:i w:val="false"/>
          <w:color w:val="000000"/>
          <w:sz w:val="22"/>
        </w:rPr>
        <w:t>(17A) contains procedures to appeal the president of the regents institution’s decision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0554D</w:t>
      </w:r>
      <w:r>
        <w:rPr>
          <w:rFonts w:ascii="Times New Roman" w:hAnsi="Times New Roman"/>
          <w:b w:val="false"/>
          <w:i w:val="false"/>
          <w:color w:val="000000"/>
          <w:sz w:val="16"/>
        </w:rPr>
        <w:t>, IAB 9/2/26, effective 8/13/26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681—2506.32</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to the board. </w:t>
      </w:r>
      <w:r>
        <w:rPr>
          <w:rFonts w:ascii="Times New Roman" w:hAnsi="Times New Roman"/>
          <w:b w:val="false"/>
          <w:i w:val="false"/>
          <w:color w:val="000000"/>
          <w:sz w:val="22"/>
        </w:rPr>
        <w:t xml:space="preserve">This rule incorporates rule </w:t>
      </w:r>
      <w:hyperlink r:id="rId9">
        <w:r>
          <w:rPr>
            <w:rStyle w:val="Hyperlink"/>
            <w:rFonts w:ascii="Times New Roman" w:hAnsi="Times New Roman"/>
            <w:b w:val="false"/>
            <w:i w:val="false"/>
            <w:color w:val="000000"/>
            <w:sz w:val="22"/>
          </w:rPr>
          <w:t>681—2506.27</w:t>
        </w:r>
      </w:hyperlink>
      <w:r>
        <w:rPr>
          <w:rFonts w:ascii="Times New Roman" w:hAnsi="Times New Roman"/>
          <w:b w:val="false"/>
          <w:i w:val="false"/>
          <w:color w:val="000000"/>
          <w:sz w:val="22"/>
        </w:rPr>
        <w:t xml:space="preserve">(17A) with the following exceptions and amendments. More information is contained in rule </w:t>
      </w:r>
      <w:hyperlink r:id="rId10">
        <w:r>
          <w:rPr>
            <w:rStyle w:val="Hyperlink"/>
            <w:rFonts w:ascii="Times New Roman" w:hAnsi="Times New Roman"/>
            <w:b w:val="false"/>
            <w:i w:val="false"/>
            <w:color w:val="000000"/>
            <w:sz w:val="22"/>
          </w:rPr>
          <w:t>681—2506.27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the president of the regents institution’s decision to the board within ten days after issuance of the decision. In the case of an appeal of initial action by the board, any adversely affected party may appeal the proposed order of a presiding officer to the board within 20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board may initiate review of the president of the regents institution’s decision or a proposed decision involving an appeal of board action on its own motion at any time within 20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board. In cases of appeals of action by an institution, a copy of the notice shall be sent to the president of the regents institution. The notice of appeal is to be signed by the appealing party or a representative of that party and contain a certificate of service. The notice will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In a case that has not been reviewed by a president of a regents institution, a party may request to submit additional evidence. The request must be filed with the notice of appeal, if by an appealing party, or within ten days of service of the notice of appeal, if by a nonappealing party. The board will take additional evidence only if the party establishes that the evidence is material, that good cause existed for it not being presented at the hearing, and that the party has not waived the right to present the evidence. The board, or its executive director, may remand a case to the president of the regents institution for further hearing or the board may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board, or its executive director, will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will include any applicable legal authority and specify relevant portions of the record in that proceeding. Written requests to present oral arguments will be filed with the briefs. The board may resolve the appeal on the briefs or provide an opportunity for oral argument. The board, or its executive director, may shorten or extend the briefing period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0554D</w:t>
      </w:r>
      <w:r>
        <w:rPr>
          <w:rFonts w:ascii="Times New Roman" w:hAnsi="Times New Roman"/>
          <w:b w:val="false"/>
          <w:i w:val="false"/>
          <w:color w:val="000000"/>
          <w:sz w:val="16"/>
        </w:rPr>
        <w:t>, IAB 9/2/26, effective 8/13/26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ARC 0554D, IAB 9/2/26, effective 8/13/26]</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ac/rule/681.2506.32.pdf" Type="http://schemas.openxmlformats.org/officeDocument/2006/relationships/hyperlink" Id="rId8"/>
    <Relationship TargetMode="External" Target="https://www.legis.iowa.gov/docs/iac/rule/681.2506.27.pdf" Type="http://schemas.openxmlformats.org/officeDocument/2006/relationships/hyperlink" Id="rId9"/>
    <Relationship TargetMode="External" Target="https://www.legis.iowa.gov/docs/iac/rule/681.2506.27.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