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2505</w:t>
      </w:r>
    </w:p>
    <w:p>
      <w:pPr>
        <w:spacing w:before="0" w:after="0"/>
        <w:ind w:left="120"/>
        <w:jc w:val="center"/>
      </w:pPr>
      <w:r>
        <w:rPr>
          <w:rFonts w:ascii="Times New Roman" w:hAnsi="Times New Roman"/>
          <w:b w:val="false"/>
          <w:i w:val="false"/>
          <w:color w:val="000000"/>
          <w:sz w:val="21"/>
        </w:rPr>
        <w:t>FAIR INFORMATION PRACTICES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8/13/31</w:t>
      </w:r>
    </w:p>
    <w:p>
      <w:pPr>
        <w:spacing w:before="0" w:after="0"/>
        <w:ind w:left="120"/>
        <w:jc w:val="both"/>
      </w:pPr>
      <w:r>
        <w:rPr>
          <w:rFonts w:ascii="Times New Roman" w:hAnsi="Times New Roman"/>
          <w:b w:val="false"/>
          <w:i w:val="false"/>
          <w:color w:val="000000"/>
          <w:sz w:val="22"/>
        </w:rPr>
        <w:t xml:space="preserve">The Uniform Rules on Agency Procedure, </w:t>
      </w:r>
      <w:hyperlink r:id="rId5">
        <w:r>
          <w:rPr>
            <w:rStyle w:val="Hyperlink"/>
            <w:rFonts w:ascii="Times New Roman" w:hAnsi="Times New Roman"/>
            <w:b w:val="false"/>
            <w:i w:val="false"/>
            <w:color w:val="000000"/>
            <w:sz w:val="22"/>
          </w:rPr>
          <w:t>7—Chapters 2500</w:t>
        </w:r>
      </w:hyperlink>
      <w:r>
        <w:rPr>
          <w:rFonts w:ascii="Times New Roman" w:hAnsi="Times New Roman"/>
          <w:b w:val="false"/>
          <w:i w:val="false"/>
          <w:color w:val="000000"/>
          <w:sz w:val="22"/>
        </w:rPr>
        <w:t xml:space="preserve"> through </w:t>
      </w:r>
      <w:hyperlink r:id="rId6">
        <w:r>
          <w:rPr>
            <w:rStyle w:val="Hyperlink"/>
            <w:rFonts w:ascii="Times New Roman" w:hAnsi="Times New Roman"/>
            <w:b w:val="false"/>
            <w:i w:val="false"/>
            <w:color w:val="000000"/>
            <w:sz w:val="22"/>
          </w:rPr>
          <w:t>2506</w:t>
        </w:r>
      </w:hyperlink>
      <w:r>
        <w:rPr>
          <w:rFonts w:ascii="Times New Roman" w:hAnsi="Times New Roman"/>
          <w:b w:val="false"/>
          <w:i w:val="false"/>
          <w:color w:val="000000"/>
          <w:sz w:val="22"/>
        </w:rPr>
        <w:t xml:space="preserve">, are rules generally applicable to agencies pursuant to Iowa Code section </w:t>
      </w:r>
      <w:hyperlink r:id="rId7">
        <w:r>
          <w:rPr>
            <w:rStyle w:val="Hyperlink"/>
            <w:rFonts w:ascii="Times New Roman" w:hAnsi="Times New Roman"/>
            <w:b w:val="false"/>
            <w:i w:val="false"/>
            <w:color w:val="000000"/>
            <w:sz w:val="22"/>
          </w:rPr>
          <w:t>17A.24</w:t>
        </w:r>
      </w:hyperlink>
      <w:r>
        <w:rPr>
          <w:rFonts w:ascii="Times New Roman" w:hAnsi="Times New Roman"/>
          <w:b w:val="false"/>
          <w:i w:val="false"/>
          <w:color w:val="000000"/>
          <w:sz w:val="22"/>
        </w:rPr>
        <w:t>. Additions, exceptions, or amendments to the corresponding chapter are below.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0554D</w:t>
      </w:r>
      <w:r>
        <w:rPr>
          <w:rFonts w:ascii="Times New Roman" w:hAnsi="Times New Roman"/>
          <w:b w:val="false"/>
          <w:i w:val="false"/>
          <w:color w:val="000000"/>
          <w:sz w:val="16"/>
        </w:rPr>
        <w:t>, IAB 9/2/26, effective 8/13/26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681—2505.1</w:t>
      </w:r>
      <w:r>
        <w:rPr>
          <w:rFonts w:ascii="Times New Roman" w:hAnsi="Times New Roman"/>
          <w:b/>
          <w:i w:val="false"/>
          <w:color w:val="000000"/>
          <w:sz w:val="22"/>
        </w:rPr>
        <w:t xml:space="preserve">(17A,22)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“Agency”</w:t>
      </w:r>
      <w:r>
        <w:rPr>
          <w:rFonts w:ascii="Times New Roman" w:hAnsi="Times New Roman"/>
          <w:b w:val="false"/>
          <w:i w:val="false"/>
          <w:color w:val="000000"/>
          <w:sz w:val="22"/>
        </w:rPr>
        <w:t> </w:t>
      </w:r>
      <w:r>
        <w:rPr>
          <w:rFonts w:ascii="Times New Roman" w:hAnsi="Times New Roman"/>
          <w:b w:val="false"/>
          <w:i w:val="false"/>
          <w:color w:val="000000"/>
          <w:sz w:val="22"/>
        </w:rPr>
        <w:t>means the state board of regents (board) and the institutions it governs—the State University of Iowa, Iowa State University of Science and Technology, and the University of Northern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“Custodian”</w:t>
      </w:r>
      <w:r>
        <w:rPr>
          <w:rFonts w:ascii="Times New Roman" w:hAnsi="Times New Roman"/>
          <w:b w:val="false"/>
          <w:i w:val="false"/>
          <w:color w:val="000000"/>
          <w:sz w:val="22"/>
        </w:rPr>
        <w:t> </w:t>
      </w:r>
      <w:r>
        <w:rPr>
          <w:rFonts w:ascii="Times New Roman" w:hAnsi="Times New Roman"/>
          <w:b w:val="false"/>
          <w:i w:val="false"/>
          <w:color w:val="000000"/>
          <w:sz w:val="22"/>
        </w:rPr>
        <w:t>means the official delegated authority by the agency to release records or that official’s designee. Custodians are as follows: for the board, the executive director; for the State University of Iowa, the institutional secretary; for Iowa State University of Science and Technology, the institutional secretary; and for the University of Northern Iowa, the institutional secretary.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0554D</w:t>
      </w:r>
      <w:r>
        <w:rPr>
          <w:rFonts w:ascii="Times New Roman" w:hAnsi="Times New Roman"/>
          <w:b w:val="false"/>
          <w:i w:val="false"/>
          <w:color w:val="000000"/>
          <w:sz w:val="16"/>
        </w:rPr>
        <w:t>, IAB 9/2/26, effective 8/13/26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681—2505.3</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2505.3(7)</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Fees and costs. </w:t>
      </w:r>
      <w:r>
        <w:rPr>
          <w:rFonts w:ascii="Times New Roman" w:hAnsi="Times New Roman"/>
          <w:b w:val="false"/>
          <w:i w:val="false"/>
          <w:color w:val="000000"/>
          <w:sz w:val="22"/>
        </w:rPr>
        <w:t>The agency may charge for the actual costs of producing public records. These charges may include the actual cost of making photocopies, the actual cost of media necessary to convey electronic copies of public records, and the actual costs of mailing public records. Pricing schedules for these actual costs will be prominently posted on the agency’s website. The agency may also charge for the expense associated with supervising and searching for public records. These hourly charges will be based on the actual hourly rate of the person performing the task. The agency will ensure that the employee rate charged is as low as possible based on the circumstances. The agency may impose hourly charges only after the first 30 minutes of labor, which will be provided at no cost to the requester. For any additional review by the agency to address questions of confidentiality, the agency may charge the requestor the actual hourly rate of the attorney performing the review, although the first 30 minutes of the attorney’s time will be provided at no cost to the requester.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Advance payment. </w:t>
      </w:r>
      <w:r>
        <w:rPr>
          <w:rFonts w:ascii="Times New Roman" w:hAnsi="Times New Roman"/>
          <w:b w:val="false"/>
          <w:i w:val="false"/>
          <w:color w:val="000000"/>
          <w:sz w:val="22"/>
        </w:rPr>
        <w:t>When the estimated total fee exceeds $25, the agency may require an advance payment from the requester to cover all or part of the estimated fee before proceeding with the work of gathering and reviewing potentially relevant records. If a requester has an unpaid balance from a previous records request, the agency may require the requester to pay both the unpaid balance and the current estimate, regardless of value, before proceeding with the review of public records.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0554D</w:t>
      </w:r>
      <w:r>
        <w:rPr>
          <w:rFonts w:ascii="Times New Roman" w:hAnsi="Times New Roman"/>
          <w:b w:val="false"/>
          <w:i w:val="false"/>
          <w:color w:val="000000"/>
          <w:sz w:val="16"/>
        </w:rPr>
        <w:t>, IAB 9/2/26, effective 8/13/26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681—2505.9</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This rule describes the nature and extent of personally identifiable information that is collected, maintained, and retrieved by the agency by personal identifier in record systems. As used in this rule, “record system” means any group of records, under the control of the agency, from which a record may be retrieved by a personal identifier, such as the name of an individual, number, symbol, or other unique retriever assigned to an individual. The record systems maintained by the agency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2505.9(1)</w:t>
      </w: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Personnel and employment management information systems. The above-listed records system is collected pursuant to the authority of Iowa Code chapter </w:t>
      </w:r>
      <w:hyperlink r:id="rId8">
        <w:r>
          <w:rPr>
            <w:rStyle w:val="Hyperlink"/>
            <w:rFonts w:ascii="Times New Roman" w:hAnsi="Times New Roman"/>
            <w:b w:val="false"/>
            <w:i w:val="false"/>
            <w:color w:val="000000"/>
            <w:sz w:val="22"/>
          </w:rPr>
          <w:t>262</w:t>
        </w:r>
      </w:hyperlink>
      <w:r>
        <w:rPr>
          <w:rFonts w:ascii="Times New Roman" w:hAnsi="Times New Roman"/>
          <w:b w:val="false"/>
          <w:i w:val="false"/>
          <w:color w:val="000000"/>
          <w:sz w:val="22"/>
        </w:rPr>
        <w:t>. Storage is in paper form, and information cannot be matched, collated and compared.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2505.9(2)</w:t>
      </w:r>
      <w:r>
        <w:rPr>
          <w:rFonts w:ascii="Times New Roman" w:hAnsi="Times New Roman"/>
          <w:b w:val="false"/>
          <w:i w:val="false"/>
          <w:color w:val="000000"/>
          <w:sz w:val="22"/>
        </w:rPr>
        <w:t> </w:t>
      </w:r>
      <w:r>
        <w:rPr>
          <w:rFonts w:ascii="Times New Roman" w:hAnsi="Times New Roman"/>
          <w:b w:val="false"/>
          <w:i/>
          <w:color w:val="000000"/>
          <w:sz w:val="22"/>
        </w:rPr>
        <w:t xml:space="preserve">State University of Iowa.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Human capital management systems covering payroll, benefits, time and attendance tracking and other human resources functions.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Job applicant tracking systems for staff and faculty.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Compliance, training, and human resources case management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Learning management, instructional technology, assessment, testing, proctoring, and course evaluation systems involving both employees and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Research proposal, award, campus data, and administration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Library records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Student records, registration, degree audit, academic advising, planning, tutoring, retention, and case management systems, including student conduct, health, counseling, and wellness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Budget and planning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Student admissions, recruitment, enrollment management, scholarship and financial aid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Patient and health information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Incident reporting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Purchasing, accounting, and travel management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Construction/jobs management/facilities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Event ticket sales/registration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Motor pool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Housing, dining, residence life, student activities, recreation, and student engagement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Career services, experiential learning, field placement, internship, licensure, and professional preparation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Police information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Credit card and point-of-sale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Customer relationship management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Parking permit/registration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Athletic department records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Student legal services document management systems.</w:t>
      </w:r>
    </w:p>
    <w:p>
      <w:pPr>
        <w:spacing w:before="0" w:after="0"/>
        <w:ind w:left="120"/>
        <w:jc w:val="both"/>
      </w:pPr>
      <w:r>
        <w:rPr>
          <w:rFonts w:ascii="Times New Roman" w:hAnsi="Times New Roman"/>
          <w:b w:val="false"/>
          <w:i w:val="false"/>
          <w:color w:val="000000"/>
          <w:sz w:val="22"/>
        </w:rPr>
        <w:t xml:space="preserve">All of the above-listed records are collected pursuant to the authority of Iowa Code chapters </w:t>
      </w:r>
      <w:hyperlink r:id="rId9">
        <w:r>
          <w:rPr>
            <w:rStyle w:val="Hyperlink"/>
            <w:rFonts w:ascii="Times New Roman" w:hAnsi="Times New Roman"/>
            <w:b w:val="false"/>
            <w:i w:val="false"/>
            <w:color w:val="000000"/>
            <w:sz w:val="22"/>
          </w:rPr>
          <w:t>262</w:t>
        </w:r>
      </w:hyperlink>
      <w:r>
        <w:rPr>
          <w:rFonts w:ascii="Times New Roman" w:hAnsi="Times New Roman"/>
          <w:b w:val="false"/>
          <w:i w:val="false"/>
          <w:color w:val="000000"/>
          <w:sz w:val="22"/>
        </w:rPr>
        <w:t xml:space="preserve"> through </w:t>
      </w:r>
      <w:hyperlink r:id="rId10">
        <w:r>
          <w:rPr>
            <w:rStyle w:val="Hyperlink"/>
            <w:rFonts w:ascii="Times New Roman" w:hAnsi="Times New Roman"/>
            <w:b w:val="false"/>
            <w:i w:val="false"/>
            <w:color w:val="000000"/>
            <w:sz w:val="22"/>
          </w:rPr>
          <w:t>263A</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271</w:t>
        </w:r>
      </w:hyperlink>
      <w:r>
        <w:rPr>
          <w:rFonts w:ascii="Times New Roman" w:hAnsi="Times New Roman"/>
          <w:b w:val="false"/>
          <w:i w:val="false"/>
          <w:color w:val="000000"/>
          <w:sz w:val="22"/>
        </w:rPr>
        <w:t xml:space="preserve">. All are stored in electronic form. Supplementary records in these categories are stored in paper form or on microfilm or microfiche. Information from systems listed in paragraphs </w:t>
      </w:r>
      <w:hyperlink r:id="rId12">
        <w:r>
          <w:rPr>
            <w:rStyle w:val="Hyperlink"/>
            <w:rFonts w:ascii="Times New Roman" w:hAnsi="Times New Roman"/>
            <w:b w:val="false"/>
            <w:i w:val="false"/>
            <w:color w:val="000000"/>
            <w:sz w:val="22"/>
          </w:rPr>
          <w:t>2505.9(2)</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“d,”</w:t>
      </w:r>
      <w:r>
        <w:rPr>
          <w:rFonts w:ascii="Times New Roman" w:hAnsi="Times New Roman"/>
          <w:b w:val="false"/>
          <w:i/>
          <w:color w:val="000000"/>
          <w:sz w:val="22"/>
        </w:rPr>
        <w:t>“g,”</w:t>
      </w:r>
      <w:r>
        <w:rPr>
          <w:rFonts w:ascii="Times New Roman" w:hAnsi="Times New Roman"/>
          <w:b w:val="false"/>
          <w:i w:val="false"/>
          <w:color w:val="000000"/>
          <w:sz w:val="22"/>
        </w:rPr>
        <w:t xml:space="preserve"> and </w:t>
      </w:r>
      <w:r>
        <w:rPr>
          <w:rFonts w:ascii="Times New Roman" w:hAnsi="Times New Roman"/>
          <w:b w:val="false"/>
          <w:i/>
          <w:color w:val="000000"/>
          <w:sz w:val="22"/>
        </w:rPr>
        <w:t>“p”</w:t>
      </w:r>
      <w:r>
        <w:rPr>
          <w:rFonts w:ascii="Times New Roman" w:hAnsi="Times New Roman"/>
          <w:b w:val="false"/>
          <w:i w:val="false"/>
          <w:color w:val="000000"/>
          <w:sz w:val="22"/>
        </w:rPr>
        <w:t xml:space="preserve"> through </w:t>
      </w:r>
      <w:r>
        <w:rPr>
          <w:rFonts w:ascii="Times New Roman" w:hAnsi="Times New Roman"/>
          <w:b w:val="false"/>
          <w:i/>
          <w:color w:val="000000"/>
          <w:sz w:val="22"/>
        </w:rPr>
        <w:t>“q”</w:t>
      </w:r>
      <w:r>
        <w:rPr>
          <w:rFonts w:ascii="Times New Roman" w:hAnsi="Times New Roman"/>
          <w:b w:val="false"/>
          <w:i w:val="false"/>
          <w:color w:val="000000"/>
          <w:sz w:val="22"/>
        </w:rPr>
        <w:t xml:space="preserve"> can be matched, collated, and compared. Information in the remaining categories cannot be matched, collated, and compared.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2505.9(3)</w:t>
      </w:r>
      <w:r>
        <w:rPr>
          <w:rFonts w:ascii="Times New Roman" w:hAnsi="Times New Roman"/>
          <w:b w:val="false"/>
          <w:i w:val="false"/>
          <w:color w:val="000000"/>
          <w:sz w:val="22"/>
        </w:rPr>
        <w:t> </w:t>
      </w:r>
      <w:r>
        <w:rPr>
          <w:rFonts w:ascii="Times New Roman" w:hAnsi="Times New Roman"/>
          <w:b w:val="false"/>
          <w:i/>
          <w:color w:val="000000"/>
          <w:sz w:val="22"/>
        </w:rPr>
        <w:t xml:space="preserve">Iowa State University of Science and Technology.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Enterprise resource planning system, which includes human capital management, finance, and student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Learning management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Research proposal, award, data storage, and administration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Professional development and continuing education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Veterinary client information management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Veterinary diagnostic laboratory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Athletic department records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Library/archives records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Health, counseling, pharmacy, and wellness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Housing and dining management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Police records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Parking systems registration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Event management, registration, and ticket sales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Workplace productivity, collaboration, and communication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Project/construction management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Facilities and maintenance information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Point-of-sale, billing, payment, and credit card processing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Customer relationship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Applicant, scholarship, student discipline, student scheduling, and career services information management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Student scheduling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Motor pool and transportation reservation and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Travel management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Student scheduling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Legal document management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Incident reporting systems.</w:t>
      </w:r>
    </w:p>
    <w:p>
      <w:pPr>
        <w:spacing w:before="0" w:after="0"/>
        <w:ind w:left="120"/>
        <w:jc w:val="both"/>
      </w:pPr>
      <w:r>
        <w:rPr>
          <w:rFonts w:ascii="Times New Roman" w:hAnsi="Times New Roman"/>
          <w:b w:val="false"/>
          <w:i w:val="false"/>
          <w:color w:val="000000"/>
          <w:sz w:val="22"/>
        </w:rPr>
        <w:t xml:space="preserve">All of the above-listed records are collected pursuant to the authority of Iowa Code chapters </w:t>
      </w:r>
      <w:hyperlink r:id="rId13">
        <w:r>
          <w:rPr>
            <w:rStyle w:val="Hyperlink"/>
            <w:rFonts w:ascii="Times New Roman" w:hAnsi="Times New Roman"/>
            <w:b w:val="false"/>
            <w:i w:val="false"/>
            <w:color w:val="000000"/>
            <w:sz w:val="22"/>
          </w:rPr>
          <w:t>262</w:t>
        </w:r>
      </w:hyperlink>
      <w:r>
        <w:rPr>
          <w:rFonts w:ascii="Times New Roman" w:hAnsi="Times New Roman"/>
          <w:b w:val="false"/>
          <w:i w:val="false"/>
          <w:color w:val="000000"/>
          <w:sz w:val="22"/>
        </w:rPr>
        <w:t xml:space="preserve"> through </w:t>
      </w:r>
      <w:hyperlink r:id="rId14">
        <w:r>
          <w:rPr>
            <w:rStyle w:val="Hyperlink"/>
            <w:rFonts w:ascii="Times New Roman" w:hAnsi="Times New Roman"/>
            <w:b w:val="false"/>
            <w:i w:val="false"/>
            <w:color w:val="000000"/>
            <w:sz w:val="22"/>
          </w:rPr>
          <w:t>262B</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266</w:t>
        </w:r>
      </w:hyperlink>
      <w:r>
        <w:rPr>
          <w:rFonts w:ascii="Times New Roman" w:hAnsi="Times New Roman"/>
          <w:b w:val="false"/>
          <w:i w:val="false"/>
          <w:color w:val="000000"/>
          <w:sz w:val="22"/>
        </w:rPr>
        <w:t xml:space="preserve">. All are stored in electronic form. Duplicates or supplementary information of the electronically stored information may be found in some cases in hard copy or on microfilm or microfiche. Information from systems listed in paragraphs </w:t>
      </w:r>
      <w:hyperlink r:id="rId16">
        <w:r>
          <w:rPr>
            <w:rStyle w:val="Hyperlink"/>
            <w:rFonts w:ascii="Times New Roman" w:hAnsi="Times New Roman"/>
            <w:b w:val="false"/>
            <w:i w:val="false"/>
            <w:color w:val="000000"/>
            <w:sz w:val="22"/>
          </w:rPr>
          <w:t>2505.9(3)</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“d,”</w:t>
      </w:r>
      <w:r>
        <w:rPr>
          <w:rFonts w:ascii="Times New Roman" w:hAnsi="Times New Roman"/>
          <w:b w:val="false"/>
          <w:i/>
          <w:color w:val="000000"/>
          <w:sz w:val="22"/>
        </w:rPr>
        <w:t>“g,”</w:t>
      </w:r>
      <w:r>
        <w:rPr>
          <w:rFonts w:ascii="Times New Roman" w:hAnsi="Times New Roman"/>
          <w:b w:val="false"/>
          <w:i/>
          <w:color w:val="000000"/>
          <w:sz w:val="22"/>
        </w:rPr>
        <w:t>“j,”</w:t>
      </w:r>
      <w:r>
        <w:rPr>
          <w:rFonts w:ascii="Times New Roman" w:hAnsi="Times New Roman"/>
          <w:b w:val="false"/>
          <w:i/>
          <w:color w:val="000000"/>
          <w:sz w:val="22"/>
        </w:rPr>
        <w:t>“m,”</w:t>
      </w:r>
      <w:r>
        <w:rPr>
          <w:rFonts w:ascii="Times New Roman" w:hAnsi="Times New Roman"/>
          <w:b w:val="false"/>
          <w:i/>
          <w:color w:val="000000"/>
          <w:sz w:val="22"/>
        </w:rPr>
        <w:t>“p,”</w:t>
      </w:r>
      <w:r>
        <w:rPr>
          <w:rFonts w:ascii="Times New Roman" w:hAnsi="Times New Roman"/>
          <w:b w:val="false"/>
          <w:i/>
          <w:color w:val="000000"/>
          <w:sz w:val="22"/>
        </w:rPr>
        <w:t>“q,”</w:t>
      </w:r>
      <w:r>
        <w:rPr>
          <w:rFonts w:ascii="Times New Roman" w:hAnsi="Times New Roman"/>
          <w:b w:val="false"/>
          <w:i/>
          <w:color w:val="000000"/>
          <w:sz w:val="22"/>
        </w:rPr>
        <w:t>“s,”</w:t>
      </w:r>
      <w:r>
        <w:rPr>
          <w:rFonts w:ascii="Times New Roman" w:hAnsi="Times New Roman"/>
          <w:b w:val="false"/>
          <w:i/>
          <w:color w:val="000000"/>
          <w:sz w:val="22"/>
        </w:rPr>
        <w:t>“t,”</w:t>
      </w:r>
      <w:r>
        <w:rPr>
          <w:rFonts w:ascii="Times New Roman" w:hAnsi="Times New Roman"/>
          <w:b w:val="false"/>
          <w:i/>
          <w:color w:val="000000"/>
          <w:sz w:val="22"/>
        </w:rPr>
        <w:t>“v,”</w:t>
      </w:r>
      <w:r>
        <w:rPr>
          <w:rFonts w:ascii="Times New Roman" w:hAnsi="Times New Roman"/>
          <w:b w:val="false"/>
          <w:i/>
          <w:color w:val="000000"/>
          <w:sz w:val="22"/>
        </w:rPr>
        <w:t>“w,”</w:t>
      </w:r>
      <w:r>
        <w:rPr>
          <w:rFonts w:ascii="Times New Roman" w:hAnsi="Times New Roman"/>
          <w:b w:val="false"/>
          <w:i w:val="false"/>
          <w:color w:val="000000"/>
          <w:sz w:val="22"/>
        </w:rPr>
        <w:t xml:space="preserve"> and </w:t>
      </w:r>
      <w:r>
        <w:rPr>
          <w:rFonts w:ascii="Times New Roman" w:hAnsi="Times New Roman"/>
          <w:b w:val="false"/>
          <w:i/>
          <w:color w:val="000000"/>
          <w:sz w:val="22"/>
        </w:rPr>
        <w:t>“y”</w:t>
      </w:r>
      <w:r>
        <w:rPr>
          <w:rFonts w:ascii="Times New Roman" w:hAnsi="Times New Roman"/>
          <w:b w:val="false"/>
          <w:i w:val="false"/>
          <w:color w:val="000000"/>
          <w:sz w:val="22"/>
        </w:rPr>
        <w:t xml:space="preserve"> can be matched, collated, and compared with other records systems, primarily with the enterprise resource planning system (more information is contained in paragraph </w:t>
      </w:r>
      <w:hyperlink r:id="rId17">
        <w:r>
          <w:rPr>
            <w:rStyle w:val="Hyperlink"/>
            <w:rFonts w:ascii="Times New Roman" w:hAnsi="Times New Roman"/>
            <w:b w:val="false"/>
            <w:i w:val="false"/>
            <w:color w:val="000000"/>
            <w:sz w:val="22"/>
          </w:rPr>
          <w:t>2505.9(3)</w:t>
        </w:r>
      </w:hyperlink>
      <w:r>
        <w:rPr>
          <w:rFonts w:ascii="Times New Roman" w:hAnsi="Times New Roman"/>
          <w:b w:val="false"/>
          <w:i/>
          <w:color w:val="000000"/>
          <w:sz w:val="22"/>
        </w:rPr>
        <w:t>“a”</w:t>
      </w:r>
      <w:r>
        <w:rPr>
          <w:rFonts w:ascii="Times New Roman" w:hAnsi="Times New Roman"/>
          <w:b w:val="false"/>
          <w:i w:val="false"/>
          <w:color w:val="000000"/>
          <w:sz w:val="22"/>
        </w:rPr>
        <w:t>). The remaining categories cannot be matched, collated, or compared.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2505.9(4)</w:t>
      </w:r>
      <w:r>
        <w:rPr>
          <w:rFonts w:ascii="Times New Roman" w:hAnsi="Times New Roman"/>
          <w:b w:val="false"/>
          <w:i w:val="false"/>
          <w:color w:val="000000"/>
          <w:sz w:val="22"/>
        </w:rPr>
        <w:t> </w:t>
      </w:r>
      <w:r>
        <w:rPr>
          <w:rFonts w:ascii="Times New Roman" w:hAnsi="Times New Roman"/>
          <w:b w:val="false"/>
          <w:i/>
          <w:color w:val="000000"/>
          <w:sz w:val="22"/>
        </w:rPr>
        <w:t xml:space="preserve">University of Northern Iowa.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Academic achievement center records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Academic advising/orientation information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Academic computing center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Accounts receivable/payable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Admissions information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Affirmative action records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Alumni foundation/development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Architect/planning/engineering records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Athletic department records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Budget management records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College of education/school of business advising center record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Continuing education/correspondence/extension records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Financial aid information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Grants and contracts records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Housing/dining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Library/archives records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Human capital management/budget/payroll/learning management information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Facilities and maintenance information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Purchasing/inventory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School of business division of external services records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Student information systems (student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Student union/student activities records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*Academic affairs information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*Ancillary services records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*Counseling/health/pharmacy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val="false"/>
          <w:color w:val="000000"/>
          <w:sz w:val="22"/>
        </w:rPr>
        <w:t>*Deans/department heads/faculty advisors record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aa.</w:t>
      </w:r>
      <w:r>
        <w:rPr>
          <w:rFonts w:ascii="Times New Roman" w:hAnsi="Times New Roman"/>
          <w:b w:val="false"/>
          <w:i w:val="false"/>
          <w:color w:val="000000"/>
          <w:sz w:val="22"/>
        </w:rPr>
        <w:t>  </w:t>
      </w:r>
      <w:r>
        <w:rPr>
          <w:rFonts w:ascii="Times New Roman" w:hAnsi="Times New Roman"/>
          <w:b w:val="false"/>
          <w:i w:val="false"/>
          <w:color w:val="000000"/>
          <w:sz w:val="22"/>
        </w:rPr>
        <w:t>*Handicapped services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ab.</w:t>
      </w:r>
      <w:r>
        <w:rPr>
          <w:rFonts w:ascii="Times New Roman" w:hAnsi="Times New Roman"/>
          <w:b w:val="false"/>
          <w:i w:val="false"/>
          <w:color w:val="000000"/>
          <w:sz w:val="22"/>
        </w:rPr>
        <w:t>  </w:t>
      </w:r>
      <w:r>
        <w:rPr>
          <w:rFonts w:ascii="Times New Roman" w:hAnsi="Times New Roman"/>
          <w:b w:val="false"/>
          <w:i w:val="false"/>
          <w:color w:val="000000"/>
          <w:sz w:val="22"/>
        </w:rPr>
        <w:t>*Institutional officials records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w:t>
      </w:r>
      <w:r>
        <w:rPr>
          <w:rFonts w:ascii="Times New Roman" w:hAnsi="Times New Roman"/>
          <w:b w:val="false"/>
          <w:i w:val="false"/>
          <w:color w:val="000000"/>
          <w:sz w:val="22"/>
        </w:rPr>
        <w:t>  </w:t>
      </w:r>
      <w:r>
        <w:rPr>
          <w:rFonts w:ascii="Times New Roman" w:hAnsi="Times New Roman"/>
          <w:b w:val="false"/>
          <w:i w:val="false"/>
          <w:color w:val="000000"/>
          <w:sz w:val="22"/>
        </w:rPr>
        <w:t>*Institutional research records systems, including social/behavioral research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w:t>
      </w:r>
      <w:r>
        <w:rPr>
          <w:rFonts w:ascii="Times New Roman" w:hAnsi="Times New Roman"/>
          <w:b w:val="false"/>
          <w:i w:val="false"/>
          <w:color w:val="000000"/>
          <w:sz w:val="22"/>
        </w:rPr>
        <w:t>  </w:t>
      </w:r>
      <w:r>
        <w:rPr>
          <w:rFonts w:ascii="Times New Roman" w:hAnsi="Times New Roman"/>
          <w:b w:val="false"/>
          <w:i w:val="false"/>
          <w:color w:val="000000"/>
          <w:sz w:val="22"/>
        </w:rPr>
        <w:t>*Operations record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ae.</w:t>
      </w:r>
      <w:r>
        <w:rPr>
          <w:rFonts w:ascii="Times New Roman" w:hAnsi="Times New Roman"/>
          <w:b w:val="false"/>
          <w:i w:val="false"/>
          <w:color w:val="000000"/>
          <w:sz w:val="22"/>
        </w:rPr>
        <w:t>  </w:t>
      </w:r>
      <w:r>
        <w:rPr>
          <w:rFonts w:ascii="Times New Roman" w:hAnsi="Times New Roman"/>
          <w:b w:val="false"/>
          <w:i w:val="false"/>
          <w:color w:val="000000"/>
          <w:sz w:val="22"/>
        </w:rPr>
        <w:t>*Placement/career center/cooperative education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af.</w:t>
      </w:r>
      <w:r>
        <w:rPr>
          <w:rFonts w:ascii="Times New Roman" w:hAnsi="Times New Roman"/>
          <w:b w:val="false"/>
          <w:i w:val="false"/>
          <w:color w:val="000000"/>
          <w:sz w:val="22"/>
        </w:rPr>
        <w:t>  </w:t>
      </w:r>
      <w:r>
        <w:rPr>
          <w:rFonts w:ascii="Times New Roman" w:hAnsi="Times New Roman"/>
          <w:b w:val="false"/>
          <w:i w:val="false"/>
          <w:color w:val="000000"/>
          <w:sz w:val="22"/>
        </w:rPr>
        <w:t>*Public safety records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w:t>
      </w:r>
      <w:r>
        <w:rPr>
          <w:rFonts w:ascii="Times New Roman" w:hAnsi="Times New Roman"/>
          <w:b w:val="false"/>
          <w:i w:val="false"/>
          <w:color w:val="000000"/>
          <w:sz w:val="22"/>
        </w:rPr>
        <w:t>  </w:t>
      </w:r>
      <w:r>
        <w:rPr>
          <w:rFonts w:ascii="Times New Roman" w:hAnsi="Times New Roman"/>
          <w:b w:val="false"/>
          <w:i w:val="false"/>
          <w:color w:val="000000"/>
          <w:sz w:val="22"/>
        </w:rPr>
        <w:t>*Small business assistance center (hazardous waste) record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ah.</w:t>
      </w:r>
      <w:r>
        <w:rPr>
          <w:rFonts w:ascii="Times New Roman" w:hAnsi="Times New Roman"/>
          <w:b w:val="false"/>
          <w:i w:val="false"/>
          <w:color w:val="000000"/>
          <w:sz w:val="22"/>
        </w:rPr>
        <w:t>  </w:t>
      </w:r>
      <w:r>
        <w:rPr>
          <w:rFonts w:ascii="Times New Roman" w:hAnsi="Times New Roman"/>
          <w:b w:val="false"/>
          <w:i w:val="false"/>
          <w:color w:val="000000"/>
          <w:sz w:val="22"/>
        </w:rPr>
        <w:t>*Special events record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ai.</w:t>
      </w:r>
      <w:r>
        <w:rPr>
          <w:rFonts w:ascii="Times New Roman" w:hAnsi="Times New Roman"/>
          <w:b w:val="false"/>
          <w:i w:val="false"/>
          <w:color w:val="000000"/>
          <w:sz w:val="22"/>
        </w:rPr>
        <w:t>  </w:t>
      </w:r>
      <w:r>
        <w:rPr>
          <w:rFonts w:ascii="Times New Roman" w:hAnsi="Times New Roman"/>
          <w:b w:val="false"/>
          <w:i w:val="false"/>
          <w:color w:val="000000"/>
          <w:sz w:val="22"/>
        </w:rPr>
        <w:t>*Speech/hearing/reading clinics records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aj.</w:t>
      </w:r>
      <w:r>
        <w:rPr>
          <w:rFonts w:ascii="Times New Roman" w:hAnsi="Times New Roman"/>
          <w:b w:val="false"/>
          <w:i w:val="false"/>
          <w:color w:val="000000"/>
          <w:sz w:val="22"/>
        </w:rPr>
        <w:t>  </w:t>
      </w:r>
      <w:r>
        <w:rPr>
          <w:rFonts w:ascii="Times New Roman" w:hAnsi="Times New Roman"/>
          <w:b w:val="false"/>
          <w:i w:val="false"/>
          <w:color w:val="000000"/>
          <w:sz w:val="22"/>
        </w:rPr>
        <w:t>*Student clinical experience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ak.</w:t>
      </w:r>
      <w:r>
        <w:rPr>
          <w:rFonts w:ascii="Times New Roman" w:hAnsi="Times New Roman"/>
          <w:b w:val="false"/>
          <w:i w:val="false"/>
          <w:color w:val="000000"/>
          <w:sz w:val="22"/>
        </w:rPr>
        <w:t>  </w:t>
      </w:r>
      <w:r>
        <w:rPr>
          <w:rFonts w:ascii="Times New Roman" w:hAnsi="Times New Roman"/>
          <w:b w:val="false"/>
          <w:i w:val="false"/>
          <w:color w:val="000000"/>
          <w:sz w:val="22"/>
        </w:rPr>
        <w:t>*United faculty records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al.</w:t>
      </w:r>
      <w:r>
        <w:rPr>
          <w:rFonts w:ascii="Times New Roman" w:hAnsi="Times New Roman"/>
          <w:b w:val="false"/>
          <w:i w:val="false"/>
          <w:color w:val="000000"/>
          <w:sz w:val="22"/>
        </w:rPr>
        <w:t>  </w:t>
      </w:r>
      <w:r>
        <w:rPr>
          <w:rFonts w:ascii="Times New Roman" w:hAnsi="Times New Roman"/>
          <w:b w:val="false"/>
          <w:i w:val="false"/>
          <w:color w:val="000000"/>
          <w:sz w:val="22"/>
        </w:rPr>
        <w:t>*UNISA records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am.</w:t>
      </w:r>
      <w:r>
        <w:rPr>
          <w:rFonts w:ascii="Times New Roman" w:hAnsi="Times New Roman"/>
          <w:b w:val="false"/>
          <w:i w:val="false"/>
          <w:color w:val="000000"/>
          <w:sz w:val="22"/>
        </w:rPr>
        <w:t>  </w:t>
      </w:r>
      <w:r>
        <w:rPr>
          <w:rFonts w:ascii="Times New Roman" w:hAnsi="Times New Roman"/>
          <w:b w:val="false"/>
          <w:i w:val="false"/>
          <w:color w:val="000000"/>
          <w:sz w:val="22"/>
        </w:rPr>
        <w:t>Motor pool and transportation reservation and management system.</w:t>
      </w:r>
    </w:p>
    <w:p>
      <w:pPr>
        <w:spacing w:before="0" w:after="0"/>
        <w:ind w:left="120"/>
        <w:jc w:val="both"/>
      </w:pPr>
      <w:r>
        <w:rPr>
          <w:rFonts w:ascii="Times New Roman" w:hAnsi="Times New Roman"/>
          <w:b w:val="false"/>
          <w:i w:val="false"/>
          <w:color w:val="000000"/>
          <w:sz w:val="22"/>
        </w:rPr>
        <w:t xml:space="preserve">All of the above-listed records systems are collected pursuant to the authority of Iowa Code chapters </w:t>
      </w:r>
      <w:hyperlink r:id="rId18">
        <w:r>
          <w:rPr>
            <w:rStyle w:val="Hyperlink"/>
            <w:rFonts w:ascii="Times New Roman" w:hAnsi="Times New Roman"/>
            <w:b w:val="false"/>
            <w:i w:val="false"/>
            <w:color w:val="000000"/>
            <w:sz w:val="22"/>
          </w:rPr>
          <w:t>262</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262A</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265</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268</w:t>
        </w:r>
      </w:hyperlink>
      <w:r>
        <w:rPr>
          <w:rFonts w:ascii="Times New Roman" w:hAnsi="Times New Roman"/>
          <w:b w:val="false"/>
          <w:i w:val="false"/>
          <w:color w:val="000000"/>
          <w:sz w:val="22"/>
        </w:rPr>
        <w:t>. Means of storage include electronic unless otherwise noted. Moreover, some records may also be stored in micrographic or paper forms. All or parts of information in each system may be matched, collated, and compared, except for those systems noted by an asterisk (*).</w:t>
      </w:r>
    </w:p>
    <w:p>
      <w:pPr>
        <w:spacing w:before="0" w:after="0"/>
        <w:ind w:left="120"/>
        <w:jc w:val="both"/>
      </w:pPr>
      <w:r>
        <w:rPr>
          <w:rFonts w:ascii="Times New Roman" w:hAnsi="Times New Roman"/>
          <w:b w:val="false"/>
          <w:i w:val="false"/>
          <w:color w:val="000000"/>
          <w:sz w:val="22"/>
        </w:rPr>
        <w:t># Storage in paper or micrographic form only.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0554D</w:t>
      </w:r>
      <w:r>
        <w:rPr>
          <w:rFonts w:ascii="Times New Roman" w:hAnsi="Times New Roman"/>
          <w:b w:val="false"/>
          <w:i w:val="false"/>
          <w:color w:val="000000"/>
          <w:sz w:val="16"/>
        </w:rPr>
        <w:t>, IAB 9/2/26, effective 8/13/26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681—2505.10</w:t>
      </w:r>
      <w:r>
        <w:rPr>
          <w:rFonts w:ascii="Times New Roman" w:hAnsi="Times New Roman"/>
          <w:b/>
          <w:i w:val="false"/>
          <w:color w:val="000000"/>
          <w:sz w:val="22"/>
        </w:rPr>
        <w:t xml:space="preserve">(22) </w:t>
      </w:r>
      <w:r>
        <w:rPr>
          <w:rFonts w:ascii="Times New Roman" w:hAnsi="Times New Roman"/>
          <w:b/>
          <w:i w:val="false"/>
          <w:color w:val="000000"/>
          <w:sz w:val="22"/>
        </w:rPr>
        <w:t xml:space="preserve">Other groups of records. </w:t>
      </w:r>
      <w:r>
        <w:rPr>
          <w:rFonts w:ascii="Times New Roman" w:hAnsi="Times New Roman"/>
          <w:b w:val="false"/>
          <w:i w:val="false"/>
          <w:color w:val="000000"/>
          <w:sz w:val="22"/>
        </w:rPr>
        <w:t>This rule describes agency records not maintained in a record system. These records are routinely available to the public but may contain confidential information. In addition, some records may contain information about individuals. Unless otherwise noted, these records are available on the board’s website or at the board office and are not retrieved by personal identifier.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2505.10(1)</w:t>
      </w:r>
      <w:r>
        <w:rPr>
          <w:rFonts w:ascii="Times New Roman" w:hAnsi="Times New Roman"/>
          <w:b w:val="false"/>
          <w:i w:val="false"/>
          <w:color w:val="000000"/>
          <w:sz w:val="22"/>
        </w:rPr>
        <w:t> </w:t>
      </w:r>
      <w:r>
        <w:rPr>
          <w:rFonts w:ascii="Times New Roman" w:hAnsi="Times New Roman"/>
          <w:b w:val="false"/>
          <w:i w:val="false"/>
          <w:color w:val="000000"/>
          <w:sz w:val="22"/>
        </w:rPr>
        <w:t xml:space="preserve">Rulemaking. Rulemaking records may contain information about individuals making written or oral comments on proposed rules pursuant to Iowa Code section </w:t>
      </w:r>
      <w:hyperlink r:id="rId22">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2505.10(2)</w:t>
      </w:r>
      <w:r>
        <w:rPr>
          <w:rFonts w:ascii="Times New Roman" w:hAnsi="Times New Roman"/>
          <w:b w:val="false"/>
          <w:i w:val="false"/>
          <w:color w:val="000000"/>
          <w:sz w:val="22"/>
        </w:rPr>
        <w:t> </w:t>
      </w:r>
      <w:r>
        <w:rPr>
          <w:rFonts w:ascii="Times New Roman" w:hAnsi="Times New Roman"/>
          <w:b w:val="false"/>
          <w:i w:val="false"/>
          <w:color w:val="000000"/>
          <w:sz w:val="22"/>
        </w:rPr>
        <w:t xml:space="preserve">Board records. Agendas, minutes, and materials presented to the board are available, except for records concerning closed sessions that are confidential under Iowa Code section </w:t>
      </w:r>
      <w:hyperlink r:id="rId23">
        <w:r>
          <w:rPr>
            <w:rStyle w:val="Hyperlink"/>
            <w:rFonts w:ascii="Times New Roman" w:hAnsi="Times New Roman"/>
            <w:b w:val="false"/>
            <w:i w:val="false"/>
            <w:color w:val="000000"/>
            <w:sz w:val="22"/>
          </w:rPr>
          <w:t>21.5</w:t>
        </w:r>
      </w:hyperlink>
      <w:r>
        <w:rPr>
          <w:rFonts w:ascii="Times New Roman" w:hAnsi="Times New Roman"/>
          <w:b w:val="false"/>
          <w:i w:val="false"/>
          <w:color w:val="000000"/>
          <w:sz w:val="22"/>
        </w:rPr>
        <w:t xml:space="preserve"> and other provisions of law. Board records contain information about people who participate in meetings. This information is collected pursuant to Iowa Code section </w:t>
      </w:r>
      <w:hyperlink r:id="rId24">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2505.10(3)</w:t>
      </w:r>
      <w:r>
        <w:rPr>
          <w:rFonts w:ascii="Times New Roman" w:hAnsi="Times New Roman"/>
          <w:b w:val="false"/>
          <w:i w:val="false"/>
          <w:color w:val="000000"/>
          <w:sz w:val="22"/>
        </w:rPr>
        <w:t> </w:t>
      </w:r>
      <w:r>
        <w:rPr>
          <w:rFonts w:ascii="Times New Roman" w:hAnsi="Times New Roman"/>
          <w:b w:val="false"/>
          <w:i w:val="false"/>
          <w:color w:val="000000"/>
          <w:sz w:val="22"/>
        </w:rPr>
        <w:t>Publications. News releases, annual reports, project reports, agency newsletters, etc., are available through the institutions’ offices for public information. Brochures describing various agency programs are available at local offices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2505.10(4)</w:t>
      </w:r>
      <w:r>
        <w:rPr>
          <w:rFonts w:ascii="Times New Roman" w:hAnsi="Times New Roman"/>
          <w:b w:val="false"/>
          <w:i w:val="false"/>
          <w:color w:val="000000"/>
          <w:sz w:val="22"/>
        </w:rPr>
        <w:t> </w:t>
      </w:r>
      <w:r>
        <w:rPr>
          <w:rFonts w:ascii="Times New Roman" w:hAnsi="Times New Roman"/>
          <w:b w:val="false"/>
          <w:i w:val="false"/>
          <w:color w:val="000000"/>
          <w:sz w:val="22"/>
        </w:rPr>
        <w:t>Statistical reports. Periodic reports for various agency programs are available through the institutions’ offices for public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2505.10(5)</w:t>
      </w:r>
      <w:r>
        <w:rPr>
          <w:rFonts w:ascii="Times New Roman" w:hAnsi="Times New Roman"/>
          <w:b w:val="false"/>
          <w:i w:val="false"/>
          <w:color w:val="000000"/>
          <w:sz w:val="22"/>
        </w:rPr>
        <w:t> </w:t>
      </w:r>
      <w:r>
        <w:rPr>
          <w:rFonts w:ascii="Times New Roman" w:hAnsi="Times New Roman"/>
          <w:b w:val="false"/>
          <w:i w:val="false"/>
          <w:color w:val="000000"/>
          <w:sz w:val="22"/>
        </w:rPr>
        <w:t>Grants. Records on persons receiving grants are available through the institutions’ offices for public information. The records may contain information about employees of a grantee.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2505.10(6)</w:t>
      </w:r>
      <w:r>
        <w:rPr>
          <w:rFonts w:ascii="Times New Roman" w:hAnsi="Times New Roman"/>
          <w:b w:val="false"/>
          <w:i w:val="false"/>
          <w:color w:val="000000"/>
          <w:sz w:val="22"/>
        </w:rPr>
        <w:t> </w:t>
      </w:r>
      <w:r>
        <w:rPr>
          <w:rFonts w:ascii="Times New Roman" w:hAnsi="Times New Roman"/>
          <w:b w:val="false"/>
          <w:i w:val="false"/>
          <w:color w:val="000000"/>
          <w:sz w:val="22"/>
        </w:rPr>
        <w:t>Published materials. The agency uses many legal and technical publications in its work. The public may inspect these publications upon request. Some of these materials may be protected by copyright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2505.10(7)</w:t>
      </w:r>
      <w:r>
        <w:rPr>
          <w:rFonts w:ascii="Times New Roman" w:hAnsi="Times New Roman"/>
          <w:b w:val="false"/>
          <w:i w:val="false"/>
          <w:color w:val="000000"/>
          <w:sz w:val="22"/>
        </w:rPr>
        <w:t> </w:t>
      </w:r>
      <w:r>
        <w:rPr>
          <w:rFonts w:ascii="Times New Roman" w:hAnsi="Times New Roman"/>
          <w:b w:val="false"/>
          <w:i w:val="false"/>
          <w:color w:val="000000"/>
          <w:sz w:val="22"/>
        </w:rPr>
        <w:t>Policy manuals. The agency employees’ manual, containing the policies and procedures for programs administered by the agency, is available in every office of the agency. Policy manuals do not contain information about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2505.10(8)</w:t>
      </w:r>
      <w:r>
        <w:rPr>
          <w:rFonts w:ascii="Times New Roman" w:hAnsi="Times New Roman"/>
          <w:b w:val="false"/>
          <w:i w:val="false"/>
          <w:color w:val="000000"/>
          <w:sz w:val="22"/>
        </w:rPr>
        <w:t> </w:t>
      </w:r>
      <w:r>
        <w:rPr>
          <w:rFonts w:ascii="Times New Roman" w:hAnsi="Times New Roman"/>
          <w:b w:val="false"/>
          <w:i w:val="false"/>
          <w:color w:val="000000"/>
          <w:sz w:val="22"/>
        </w:rPr>
        <w:t>All other records that are not exempted from disclosure by law. The agency maintains a variety of records that do not generally contain information pertaining to named individuals.</w:t>
      </w:r>
    </w:p>
    <w:p>
      <w:pPr>
        <w:spacing w:before="0" w:after="0"/>
        <w:ind w:left="120"/>
        <w:jc w:val="both"/>
      </w:pPr>
      <w:r>
        <w:rPr>
          <w:rFonts w:ascii="Times New Roman" w:hAnsi="Times New Roman"/>
          <w:b w:val="false"/>
          <w:i w:val="false"/>
          <w:color w:val="000000"/>
          <w:sz w:val="22"/>
        </w:rPr>
        <w:t>All data processing systems used by the agency permit the comparison of personally identifiable information in one record system with personally identifiable information in another record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0554D</w:t>
      </w:r>
      <w:r>
        <w:rPr>
          <w:rFonts w:ascii="Times New Roman" w:hAnsi="Times New Roman"/>
          <w:b w:val="false"/>
          <w:i w:val="false"/>
          <w:color w:val="000000"/>
          <w:sz w:val="16"/>
        </w:rPr>
        <w:t>, IAB 9/2/26, effective 8/13/26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Emergency ARC 0554D, IAB 9/2/26, effective 8/13/26]</w:t>
      </w:r>
    </w:p>
    <w:sectPr>
      <w:footerReference r:id="rId25"/>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7.2500.pdf" Type="http://schemas.openxmlformats.org/officeDocument/2006/relationships/hyperlink" Id="rId5"/>
    <Relationship TargetMode="External" Target="https://www.legis.iowa.gov/docs/iac/chapter/7.2506.pdf" Type="http://schemas.openxmlformats.org/officeDocument/2006/relationships/hyperlink" Id="rId6"/>
    <Relationship TargetMode="External" Target="https://www.legis.iowa.gov/docs/ico/chapter/17A.24.pdf" Type="http://schemas.openxmlformats.org/officeDocument/2006/relationships/hyperlink" Id="rId7"/>
    <Relationship TargetMode="External" Target="https://www.legis.iowa.gov/docs/ico/chapter/262.pdf" Type="http://schemas.openxmlformats.org/officeDocument/2006/relationships/hyperlink" Id="rId8"/>
    <Relationship TargetMode="External" Target="https://www.legis.iowa.gov/docs/ico/chapter/262.pdf" Type="http://schemas.openxmlformats.org/officeDocument/2006/relationships/hyperlink" Id="rId9"/>
    <Relationship TargetMode="External" Target="https://www.legis.iowa.gov/docs/ico/chapter/263A.pdf" Type="http://schemas.openxmlformats.org/officeDocument/2006/relationships/hyperlink" Id="rId10"/>
    <Relationship TargetMode="External" Target="https://www.legis.iowa.gov/docs/ico/chapter/271.pdf" Type="http://schemas.openxmlformats.org/officeDocument/2006/relationships/hyperlink" Id="rId11"/>
    <Relationship TargetMode="External" Target="https://www.legis.iowa.gov/docs/iac/rule/681.2505.9.pdf" Type="http://schemas.openxmlformats.org/officeDocument/2006/relationships/hyperlink" Id="rId12"/>
    <Relationship TargetMode="External" Target="https://www.legis.iowa.gov/docs/ico/chapter/262.pdf" Type="http://schemas.openxmlformats.org/officeDocument/2006/relationships/hyperlink" Id="rId13"/>
    <Relationship TargetMode="External" Target="https://www.legis.iowa.gov/docs/ico/chapter/262B.pdf" Type="http://schemas.openxmlformats.org/officeDocument/2006/relationships/hyperlink" Id="rId14"/>
    <Relationship TargetMode="External" Target="https://www.legis.iowa.gov/docs/ico/chapter/266.pdf" Type="http://schemas.openxmlformats.org/officeDocument/2006/relationships/hyperlink" Id="rId15"/>
    <Relationship TargetMode="External" Target="https://www.legis.iowa.gov/docs/iac/rule/681.2505.9.pdf" Type="http://schemas.openxmlformats.org/officeDocument/2006/relationships/hyperlink" Id="rId16"/>
    <Relationship TargetMode="External" Target="https://www.legis.iowa.gov/docs/iac/rule/681.2505.9.pdf" Type="http://schemas.openxmlformats.org/officeDocument/2006/relationships/hyperlink" Id="rId17"/>
    <Relationship TargetMode="External" Target="https://www.legis.iowa.gov/docs/ico/chapter/262.pdf" Type="http://schemas.openxmlformats.org/officeDocument/2006/relationships/hyperlink" Id="rId18"/>
    <Relationship TargetMode="External" Target="https://www.legis.iowa.gov/docs/ico/chapter/262A.pdf" Type="http://schemas.openxmlformats.org/officeDocument/2006/relationships/hyperlink" Id="rId19"/>
    <Relationship TargetMode="External" Target="https://www.legis.iowa.gov/docs/ico/chapter/265.pdf" Type="http://schemas.openxmlformats.org/officeDocument/2006/relationships/hyperlink" Id="rId20"/>
    <Relationship TargetMode="External" Target="https://www.legis.iowa.gov/docs/ico/chapter/268.pdf" Type="http://schemas.openxmlformats.org/officeDocument/2006/relationships/hyperlink" Id="rId21"/>
    <Relationship TargetMode="External" Target="https://www.legis.iowa.gov/docs/ico/chapter/17A.4.pdf" Type="http://schemas.openxmlformats.org/officeDocument/2006/relationships/hyperlink" Id="rId22"/>
    <Relationship TargetMode="External" Target="https://www.legis.iowa.gov/docs/ico/chapter/21.5.pdf" Type="http://schemas.openxmlformats.org/officeDocument/2006/relationships/hyperlink" Id="rId23"/>
    <Relationship TargetMode="External" Target="https://www.legis.iowa.gov/docs/ico/chapter/21.3.pdf" Type="http://schemas.openxmlformats.org/officeDocument/2006/relationships/hyperlink" Id="rId24"/>
    <Relationship Target="footer.xml" Type="http://schemas.openxmlformats.org/officeDocument/2006/relationships/footer" Id="rId2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