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ADMISSION RULES COMMON TO THE THREE STATE UNIVERSITIES</w:t>
      </w:r>
    </w:p>
    <w:p>
      <w:pPr>
        <w:spacing w:before="0" w:after="0"/>
        <w:ind w:left="120"/>
        <w:jc w:val="center"/>
      </w:pPr>
      <w:r>
        <w:rPr>
          <w:rFonts w:ascii="Times New Roman" w:hAnsi="Times New Roman"/>
          <w:b w:val="false"/>
          <w:i w:val="false"/>
          <w:color w:val="000000"/>
          <w:sz w:val="20"/>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spacing w:before="0" w:after="0"/>
        <w:ind w:left="120"/>
        <w:jc w:val="both"/>
      </w:pPr>
      <w:r>
        <w:rPr>
          <w:rFonts w:ascii="Times New Roman" w:hAnsi="Times New Roman"/>
          <w:b/>
          <w:i w:val="false"/>
          <w:color w:val="000000"/>
          <w:sz w:val="22"/>
        </w:rPr>
        <w:t>681—1.1</w:t>
      </w:r>
      <w:r>
        <w:rPr>
          <w:rFonts w:ascii="Times New Roman" w:hAnsi="Times New Roman"/>
          <w:b/>
          <w:i w:val="false"/>
          <w:color w:val="000000"/>
          <w:sz w:val="22"/>
        </w:rPr>
        <w:t xml:space="preserve">(262) </w:t>
      </w:r>
      <w:r>
        <w:rPr>
          <w:rFonts w:ascii="Times New Roman" w:hAnsi="Times New Roman"/>
          <w:b/>
          <w:i w:val="false"/>
          <w:color w:val="000000"/>
          <w:sz w:val="22"/>
        </w:rPr>
        <w:t xml:space="preserve">Admission of undergraduate students directly from high school. </w:t>
      </w:r>
      <w:r>
        <w:rPr>
          <w:rFonts w:ascii="Times New Roman" w:hAnsi="Times New Roman"/>
          <w:b w:val="false"/>
          <w:i w:val="false"/>
          <w:color w:val="000000"/>
          <w:sz w:val="22"/>
        </w:rPr>
        <w:t>Students desiring admission to the University of Iowa, Iowa State University, or the University of Northern Iowa must meet the requirements in this rule and also any special requirements for the curriculum, school, or college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Application. Applicants must submit a formal application for admission, together with the appropriate application fee and have their secondary school provide a transcript of their academic record, including credits and grades, rank in class (when available), and certification of graduation. Applicants may also submit standardized test scores. Applicants whose primary language is not English must also meet the English language proficiency requirement specified by each university. Applicants may be required to submit additional information or data to support their applications.</w:t>
      </w:r>
    </w:p>
    <w:p>
      <w:pPr>
        <w:spacing w:before="0" w:after="0"/>
        <w:ind w:left="120"/>
        <w:jc w:val="both"/>
      </w:pP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Admission criteria.</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regent admission index (RAI) will be calculated for freshman applicants who submit all components used in the equation below. For purposes of calculating the RAI, the ACT composite score has a top value of 36 (SAT scores or other approved standardized tests will be converted to ACT composite equivalents), high school GPA is expressed on a four-point scale, and number of high school courses completed in the core subject areas is expressed in terms of years or fractions of years of study.</w:t>
      </w:r>
    </w:p>
    <w:tbl>
      <w:tblPr>
        <w:tblW w:w="0" w:type="auto"/>
        <w:tblCellSpacing w:w="0" w:type="auto"/>
        <w:tblBorders>
          <w:top w:val="none"/>
          <w:left w:val="none"/>
          <w:bottom w:val="none"/>
          <w:right w:val="none"/>
          <w:insideH w:val="none"/>
          <w:insideV w:val="none"/>
        </w:tblBorders>
        <w:tblLayout w:type="fixed"/>
      </w:tblPr>
      <w:tblGrid>
        <w:gridCol w:w="777"/>
        <w:gridCol w:w="355"/>
        <w:gridCol w:w="1929"/>
        <w:gridCol w:w="355"/>
        <w:gridCol w:w="2293"/>
        <w:gridCol w:w="355"/>
        <w:gridCol w:w="2888"/>
      </w:tblGrid>
      <w:tr>
        <w:trPr>
          <w:trHeight w:val="345" w:hRule="atLeast"/>
        </w:trPr>
        <w:tc>
          <w:tcPr>
            <w:tcW w:w="777" w:type="dxa"/>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RAI</w:t>
            </w:r>
          </w:p>
        </w:tc>
        <w:tc>
          <w:tcPr>
            <w:tcW w:w="355"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929"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 × ACT composite score)</w:t>
            </w:r>
          </w:p>
        </w:tc>
        <w:tc>
          <w:tcPr>
            <w:tcW w:w="355"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2293"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 × high school grade point average)</w:t>
            </w:r>
          </w:p>
        </w:tc>
        <w:tc>
          <w:tcPr>
            <w:tcW w:w="355"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288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 × number of high school courses completed in the core subject areas)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Freshman applicants from Iowa high schools who have an RAI that meets a minimum set by the state board of regents and who meet the minimum requirements of the regent universities will qualify for automatic admission. Freshman applicants who have an RAI below the minimum set by the state board of regents or who do not have all components used in the RAI may also be admitted to a regent university; however, each regent university will review these applications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Graduates of approved high schools in other states may be held to higher academic standards but must meet at least the same requirements as graduates of Iowa high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val="false"/>
          <w:color w:val="000000"/>
          <w:sz w:val="22"/>
        </w:rPr>
        <w:t>Applicants who are graduates of nonapproved high schools will be considered for admission in a manner similar to applicants from approved high schools, but additional emphasis will be given to scores obtained on standardized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val="false"/>
          <w:color w:val="000000"/>
          <w:sz w:val="22"/>
        </w:rPr>
        <w:t>Applicants who are not high school graduates, but whose classes have graduated, may be considered for admission. These applicants will be required to submit all academic data to the extent that it exists and achieve scores on standardized examinations that will demonstrate that they are adequately prepared for academic study.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val="false"/>
          <w:color w:val="000000"/>
          <w:sz w:val="22"/>
        </w:rPr>
        <w:t>Early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with superior academic records may be admitted, on an individual basis, for part-time university study while enrolled in high school or during the summers prior to high school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rare situations, exceptional students may be admitted as full-time students to a regent university before completing high school. Early admission to a regent university is provided to serve persons whose academic achievement and personal and intellectual maturity clearly suggest readiness for collegiate-level study. Each university will specify requirements and conditions for early admission.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w:t>
      </w:r>
      <w:r>
        <w:rPr>
          <w:rFonts w:ascii="Times New Roman" w:hAnsi="Times New Roman"/>
          <w:b/>
          <w:i w:val="false"/>
          <w:color w:val="000000"/>
          <w:sz w:val="22"/>
        </w:rPr>
        <w:t xml:space="preserve">(262) </w:t>
      </w:r>
      <w:r>
        <w:rPr>
          <w:rFonts w:ascii="Times New Roman" w:hAnsi="Times New Roman"/>
          <w:b/>
          <w:i w:val="false"/>
          <w:color w:val="000000"/>
          <w:sz w:val="22"/>
        </w:rPr>
        <w:t xml:space="preserve">Admission of undergraduate students by transfer from other colleges. </w:t>
      </w:r>
      <w:r>
        <w:rPr>
          <w:rFonts w:ascii="Times New Roman" w:hAnsi="Times New Roman"/>
          <w:b w:val="false"/>
          <w:i w:val="false"/>
          <w:color w:val="000000"/>
          <w:sz w:val="22"/>
        </w:rPr>
        <w:t>Students desiring admission to the University of Iowa, Iowa State University, or the University of Northern Iowa must meet the requirements in this rule and also any special requirements for the curriculum, school, or college of their choice.</w:t>
      </w:r>
    </w:p>
    <w:p>
      <w:pPr>
        <w:spacing w:before="0" w:after="0"/>
        <w:ind w:left="120"/>
        <w:jc w:val="both"/>
      </w:pPr>
      <w:r>
        <w:rPr>
          <w:rFonts w:ascii="Times New Roman" w:hAnsi="Times New Roman"/>
          <w:b w:val="false"/>
          <w:i w:val="false"/>
          <w:color w:val="000000"/>
          <w:sz w:val="22"/>
        </w:rPr>
        <w:t>Applicants must submit a formal application for admission, together with the appropriate application fee, and request that each college they have attended send an official transcript of record to the admissions office. High school academic records and standardized test results may also be required. The Test of English as a Foreign Language (TOEFL), or equivalent English proficiency examination as determined by each institution, is required of foreign students whose first language is not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Transfer applicants who have earned a minimum of 24 semester hours of graded credit from colleges or universities accredited by an entity recognized by the U.S. Department of Education, attended another college or university after graduating from high school, and achieved for all college work previously attempted the grade point required by each university for specific programs will be admitted. Higher academic standards may be required of students who are not residents of Iowa.</w:t>
      </w:r>
    </w:p>
    <w:p>
      <w:pPr>
        <w:spacing w:before="0" w:after="0"/>
        <w:ind w:left="120"/>
        <w:jc w:val="both"/>
      </w:pPr>
      <w:r>
        <w:rPr>
          <w:rFonts w:ascii="Times New Roman" w:hAnsi="Times New Roman"/>
          <w:b w:val="false"/>
          <w:i w:val="false"/>
          <w:color w:val="000000"/>
          <w:sz w:val="22"/>
        </w:rPr>
        <w:t>Applicants who have not maintained the grade point required by each university for specific programs or who are under academic suspension from the last college attended may, after a review of their academic and test records and at the discretion of the admissions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admitted unconditionally,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admitted conditionally,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denied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Admission of students with fewer than 24 semester hours of college credit will be based on high school academic records in addition to review of the college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Transfer applicants under disciplinary suspension will not be considered for admission until information concerning the reason for the suspension has been received from the college assigning the suspension. Applicants granted admission under these circumstances will be admitted on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Transfer applicants from colleges and universities not accredited by an entity recognized by the U.S. Department of Education will be considered for admission on an individual basis taking into account all available academic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w:t>
      </w:r>
      <w:r>
        <w:rPr>
          <w:rFonts w:ascii="Times New Roman" w:hAnsi="Times New Roman"/>
          <w:b/>
          <w:i w:val="false"/>
          <w:color w:val="000000"/>
          <w:sz w:val="22"/>
        </w:rPr>
        <w:t xml:space="preserve">(262) </w:t>
      </w:r>
      <w:r>
        <w:rPr>
          <w:rFonts w:ascii="Times New Roman" w:hAnsi="Times New Roman"/>
          <w:b/>
          <w:i w:val="false"/>
          <w:color w:val="000000"/>
          <w:sz w:val="22"/>
        </w:rPr>
        <w:t xml:space="preserve">Transfer credit practices. </w:t>
      </w:r>
      <w:r>
        <w:rPr>
          <w:rFonts w:ascii="Times New Roman" w:hAnsi="Times New Roman"/>
          <w:b w:val="false"/>
          <w:i w:val="false"/>
          <w:color w:val="000000"/>
          <w:sz w:val="22"/>
        </w:rPr>
        <w:t>The acceptance and use of transfer credit is subject to limitations in accordance with the educational policies operative at each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accredited by an entity recognized by the U.S. Department of Education. </w:t>
      </w:r>
      <w:r>
        <w:rPr>
          <w:rFonts w:ascii="Times New Roman" w:hAnsi="Times New Roman"/>
          <w:b w:val="false"/>
          <w:i w:val="false"/>
          <w:color w:val="000000"/>
          <w:sz w:val="22"/>
        </w:rPr>
        <w:t>Credit earned at colleges and universities accredited by an entity recognized by the U.S. Department of Education is acceptable for transfer except that credit in courses determined by the receiving university to be of a remedial, vocational, or technical nature or credit in courses or programs in which the institution granting the credit is not directly involved may not be accepted or may be accepted to a limited extent.</w:t>
      </w:r>
    </w:p>
    <w:p>
      <w:pPr>
        <w:spacing w:before="0" w:after="0"/>
        <w:ind w:left="120"/>
        <w:jc w:val="both"/>
      </w:pPr>
      <w:r>
        <w:rPr>
          <w:rFonts w:ascii="Times New Roman" w:hAnsi="Times New Roman"/>
          <w:b w:val="false"/>
          <w:i w:val="false"/>
          <w:color w:val="000000"/>
          <w:sz w:val="22"/>
        </w:rPr>
        <w:t>Of the coursework earned at a two-year college, students may apply up to one-half but no more than 65 hours of the credits required for a bachelor’s degree toward that degree at a regent university except as otherwise agreed to in an articulation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that have candidate status. </w:t>
      </w:r>
      <w:r>
        <w:rPr>
          <w:rFonts w:ascii="Times New Roman" w:hAnsi="Times New Roman"/>
          <w:b w:val="false"/>
          <w:i w:val="false"/>
          <w:color w:val="000000"/>
          <w:sz w:val="22"/>
        </w:rPr>
        <w:t>Credit earned at colleges and universities that have become candidates for accreditation by an entity recognized by the U.S. Department of Education is acceptable for transfer in a manner similar to that from colleges and universities accredited by an entity recognized by the U.S. Department of Education if the credit is applicable to the bachelor’s degree at the receiving university.</w:t>
      </w:r>
    </w:p>
    <w:p>
      <w:pPr>
        <w:spacing w:before="0" w:after="0"/>
        <w:ind w:left="120"/>
        <w:jc w:val="both"/>
      </w:pPr>
      <w:r>
        <w:rPr>
          <w:rFonts w:ascii="Times New Roman" w:hAnsi="Times New Roman"/>
          <w:b w:val="false"/>
          <w:i w:val="false"/>
          <w:color w:val="000000"/>
          <w:sz w:val="22"/>
        </w:rPr>
        <w:t>Credit earned at the junior and senior classification from an accredited two-year college that has received approval by an entity recognized by the U.S. Department of Education for change to a four-year college may be accepted by a regent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not accredited by an entity recognized by the U.S. Department of Education. </w:t>
      </w:r>
      <w:r>
        <w:rPr>
          <w:rFonts w:ascii="Times New Roman" w:hAnsi="Times New Roman"/>
          <w:b w:val="false"/>
          <w:i w:val="false"/>
          <w:color w:val="000000"/>
          <w:sz w:val="22"/>
        </w:rPr>
        <w:t>When students are admitted from colleges and universities not accredited by an entity recognized by the U.S. Department of Education, they may validate portions or all of their transfer credit. Each university will specify the amount of the transfer credit and the terms of the validation process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outside the U.S. </w:t>
      </w:r>
      <w:r>
        <w:rPr>
          <w:rFonts w:ascii="Times New Roman" w:hAnsi="Times New Roman"/>
          <w:b w:val="false"/>
          <w:i w:val="false"/>
          <w:color w:val="000000"/>
          <w:sz w:val="22"/>
        </w:rPr>
        <w:t>Transfer credit from educational institutions outside the U.S. may be granted after a determination of the type of institution involved and after an evaluation of the content, level, and comparability of the study to courses and programs at the receiving university. Credit may be granted in specific courses but is frequently assigned to general areas of study.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681—1.4</w:t>
      </w:r>
      <w:r>
        <w:rPr>
          <w:rFonts w:ascii="Times New Roman" w:hAnsi="Times New Roman"/>
          <w:b/>
          <w:i w:val="false"/>
          <w:color w:val="000000"/>
          <w:sz w:val="22"/>
        </w:rPr>
        <w:t xml:space="preserve">(262) </w:t>
      </w:r>
      <w:r>
        <w:rPr>
          <w:rFonts w:ascii="Times New Roman" w:hAnsi="Times New Roman"/>
          <w:b/>
          <w:i w:val="false"/>
          <w:color w:val="000000"/>
          <w:sz w:val="22"/>
        </w:rPr>
        <w:t xml:space="preserve">Classification of residents and nonresidents for admission, tuition, and fee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enrolling at one of the three state universities shall be classified as a resident or nonresident for admission, tuition, and fee purposes by the registrar or someone designated by the registrar. The decision shall be based upon information furnished by the student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resident or nonresident classification, the issue is essentially one of why the person is in the state of Iowa. If the person is in the state primarily for educational purposes, that person will be considered a nonresident. An individual could qualify as a resident of Iowa for such purposes as voting, holding an Iowa driver’s license, or Iowa community college residency, and not meet the residency requirements as established by the state board of regents for admission, tuition, and fee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registrar, or designated person, is authorized to require evidence deemed necessary to determine why a student is in Iowa. The burden of establishing that a student is in Iowa for other than educational purposes is upon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for resident classification for a given semester or session are due no later than the fifteenth class day of that semester or session. Applications received after the fifteenth class day of that semester or session will be considered for the next semester or session. Appeals of any nonresident classification decision resulting from applications for resident classifications are due within ten business days of the decision. Change of classification from nonresident to resident will not be made retroactive beyond the term in which application for resident classification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student who gives incorrect or misleading information to evade payment of nonresident fees shall be subject to disciplinary action and must also pay the nonresident fees for each term previously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Review committee. These regulations shall be administered by the registrar or someone designated by the registrar. The decision of the registrar or designated person may be appealed to a university review committee. The decision of the review committee may be appealed to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general guidelines are used in determining the resident classification of a student for admission, tuition, and fee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financially dependent student whose parents move from Iowa after the student is enrolled remains a resident provided the student maintains continuous enrollment. A financially dependent student whose parents move from Iowa during the senior year of high school will be considered a resident provided the student has not established domicile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deciding why a person is in the state of Iowa, the person’s domicile will be considered. A person’s domicile is presumed to be that of the parent(s) or legal guardian unless the person is independent and establishes a separate domicile. A person who comes to Iowa from another state and enrolls in any institution of postsecondary education for a full program or substantially a full program shall be presumed to have come to Iowa primarily for educational reasons rather than to establish a domicile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was a former resident of Iowa may continue to be considered a resident provided absence from the state was for a period of less than 12 months and provided domicile is reestablished.</w:t>
      </w:r>
    </w:p>
    <w:p>
      <w:pPr>
        <w:spacing w:before="0" w:after="0"/>
        <w:ind w:left="120"/>
        <w:jc w:val="both"/>
      </w:pPr>
      <w:r>
        <w:rPr>
          <w:rFonts w:ascii="Times New Roman" w:hAnsi="Times New Roman"/>
          <w:b w:val="false"/>
          <w:i w:val="false"/>
          <w:color w:val="000000"/>
          <w:sz w:val="22"/>
        </w:rPr>
        <w:t>A person or the dependent of a person whose domicile is established in Iowa, who has been classified as a resident for admission, tuition, and fee purposes, may continue to be classified as a resident so long as domicile is maintained, even though circumstances may require extended absence of the person from the state. It is required that a person who claims Iowa domicile while living in another state or country will provide proof of the continual Iowa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student who moves to Iowa may be eligible for resident classification at the next registration following 12 consecutive months in the state provided the student is not enrolled as more than a half-time student (six credits for an undergraduate or professional student, five credits for a graduate student) in any academic year term at any postsecondary institution, is not enrolled for more than four credits in a summer or winter term at any postsecondary institution for any classification, and provides sufficient evidence of the establishment of an Iowa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student who has been a continuous student and whose parents move to Iowa may become a resident at the beginning of the next term provided the student is dependent upon the parents for a majority of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person who has been certified as a refugee or granted asylum by the appropriate agency of the United States who enrolls as a student at a university governed by the state board of regents may be accorded immediate resident status for admission, tuition, and fee purposes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Comes directly to the state of Iowa from a refugee facility or port of debarkation,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Comes to the state of Iowa within a reasonable time and has not established domicile in another state.</w:t>
      </w:r>
    </w:p>
    <w:p>
      <w:pPr>
        <w:spacing w:before="0" w:after="0"/>
        <w:ind w:left="120"/>
        <w:jc w:val="both"/>
      </w:pPr>
      <w:r>
        <w:rPr>
          <w:rFonts w:ascii="Times New Roman" w:hAnsi="Times New Roman"/>
          <w:b w:val="false"/>
          <w:i w:val="false"/>
          <w:color w:val="000000"/>
          <w:sz w:val="22"/>
        </w:rPr>
        <w:t>Any refugee or individual granted asylum not meeting these standards will be presumed to be a nonresident for admission, tuition, and fee purposes and thus subject to the usual method of establishment of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individual who has immigrant status establishes Iowa residency in the same manner as a United States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 the regent universities, American Indians who have origins in any of the original people of North America and who maintain a cultural identification through tribal affiliation or community recognition with one or more of the tribes or nations connected historically with the present state of Iowa, including the Chickasaw, Iowa, Kickapoo, Menominee, Miami, Missouri, Ojibwa (Chippewa), Omaha, Oneida (Narragansett), Otoe (Otto), Ottawa (Odawa), Potawatomi, Sac and Fox (Sauk, Meskwaki), Sioux, and Winnebago (HoCak, Ho Chunk), will be assessed Iowa resident tuition and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Individuals who have received a homeless youth determination may be classified as residents for tuition and fee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guidelines are used in determining the resident classification of a veteran, a qualified military person, or other qualified individuals for purposes of undergraduate, graduate, professional, or certificate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is stationed on active duty at the Rock Island arsenal as a result of military orders, or the child or spouse or domestic partner of such person, is entitled to resident status for purposes of undergraduate, graduate, professional, or certificate tuition and mandatory fees. The child or spouse or domestic partner may be required to submit appropriate documentation to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National Guard and U.S. Armed Services reserve component service members assigned to a unit physically located in Iowa who have completed their initial entry training requirements or have served for one year are eligible for resident status for purposes of undergraduate, graduate, professional, or certificate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National Guard and U.S. Armed Services reserve component service members attached for a duration of greater than one year to a unit physically located in Iowa are eligible for resident status for purposes of undergraduate, graduate, professional, or certificate tuition and mandatory fees upon proof that the attachment requires moving to a permanent residence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Honorably discharged veterans who have served an aggregate of 90 days or more on Title 10 orders, other than for training, are eligible for resident status for purposes of undergraduate, graduate, professional, or certificate tuition and mandatory fees. All other discharges will be reviewed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Retired members of the Iowa National Guard who are not Iowa residents are eligible for resident status for purposes of undergraduate, graduate, professional, or certificate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Active duty, Title 10, service members and their dependents, including domestic partner, are eligible for resident status for purposes of undergraduate, graduate, professional, or certificate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rules for classification of veterans and qualified individuals shall be in full compliance with all federal laws, including Section 702 of the Veterans Access, Choice, and Accountability Act of 2014 (Choice Act). The qualified individual may be required to submit appropriate documentation to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person who is moved into the state as the result of military or civil orders from the government for other than educational purposes, or the child or spouse or domestic partner of such a person, is entitled to resident status. The child or spouse or domestic partner may be required to submit appropriate documentation to the university. Legislation, effective July 1, 1977, requires that military personnel who claim residency in Iowa (home of record) will be required to file Iowa resident income tax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681—1.5</w:t>
      </w:r>
      <w:r>
        <w:rPr>
          <w:rFonts w:ascii="Times New Roman" w:hAnsi="Times New Roman"/>
          <w:b/>
          <w:i w:val="false"/>
          <w:color w:val="000000"/>
          <w:sz w:val="22"/>
        </w:rPr>
        <w:t xml:space="preserve">(262) </w:t>
      </w:r>
      <w:r>
        <w:rPr>
          <w:rFonts w:ascii="Times New Roman" w:hAnsi="Times New Roman"/>
          <w:b/>
          <w:i w:val="false"/>
          <w:color w:val="000000"/>
          <w:sz w:val="22"/>
        </w:rPr>
        <w:t xml:space="preserve">Application fees. </w:t>
      </w:r>
      <w:r>
        <w:rPr>
          <w:rFonts w:ascii="Times New Roman" w:hAnsi="Times New Roman"/>
          <w:b w:val="false"/>
          <w:i w:val="false"/>
          <w:color w:val="000000"/>
          <w:sz w:val="22"/>
        </w:rPr>
        <w:t>Mandatory application fees for admission to the University of Iowa, Iowa State University and the University of Northern Iowa shall be approved by the state board of regents and shall be based on reasonable costs anticipated to be incurred by the institution in processing the application unless otherwise approved by the state board of regents.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12/17/58; amended 1/28/59, 5/26/59, 9/15/59, 10/28/59, 9/30/60, 7/12/67,</w:t>
      </w:r>
    </w:p>
    <w:p>
      <w:pPr>
        <w:spacing w:before="0" w:after="0"/>
        <w:ind w:left="120"/>
        <w:jc w:val="center"/>
      </w:pPr>
      <w:r>
        <w:rPr>
          <w:rFonts w:ascii="Times New Roman" w:hAnsi="Times New Roman"/>
          <w:b w:val="false"/>
          <w:i w:val="false"/>
          <w:color w:val="000000"/>
          <w:sz w:val="21"/>
        </w:rPr>
        <w:t>6/14/72, 5/16/73, 1/16/75, 6/10/75]</w:t>
      </w:r>
    </w:p>
    <w:p>
      <w:pPr>
        <w:spacing w:before="0" w:after="0"/>
        <w:ind w:left="120"/>
        <w:jc w:val="center"/>
      </w:pPr>
      <w:r>
        <w:rPr>
          <w:rFonts w:ascii="Times New Roman" w:hAnsi="Times New Roman"/>
          <w:b w:val="false"/>
          <w:i w:val="false"/>
          <w:color w:val="000000"/>
          <w:sz w:val="21"/>
        </w:rPr>
        <w:t>[Filed emergency 3/19/76—published 4/5/76, effective 3/19/76]</w:t>
      </w:r>
    </w:p>
    <w:p>
      <w:pPr>
        <w:spacing w:before="0" w:after="0"/>
        <w:ind w:left="120"/>
        <w:jc w:val="center"/>
      </w:pPr>
      <w:r>
        <w:rPr>
          <w:rFonts w:ascii="Times New Roman" w:hAnsi="Times New Roman"/>
          <w:b w:val="false"/>
          <w:i w:val="false"/>
          <w:color w:val="000000"/>
          <w:sz w:val="21"/>
        </w:rPr>
        <w:t>[Filed 3/19/76, Notice 2/9/76—published 4/5/76, effective 5/10/76]</w:t>
      </w:r>
    </w:p>
    <w:p>
      <w:pPr>
        <w:spacing w:before="0" w:after="0"/>
        <w:ind w:left="120"/>
        <w:jc w:val="center"/>
      </w:pPr>
      <w:r>
        <w:rPr>
          <w:rFonts w:ascii="Times New Roman" w:hAnsi="Times New Roman"/>
          <w:b w:val="false"/>
          <w:i w:val="false"/>
          <w:color w:val="000000"/>
          <w:sz w:val="21"/>
        </w:rPr>
        <w:t>[Filed 12/18/80, Notices 10/15/80, 11/12/80—published 1/7/81, effective 2/11/81]</w:t>
      </w:r>
    </w:p>
    <w:p>
      <w:pPr>
        <w:spacing w:before="0" w:after="0"/>
        <w:ind w:left="120"/>
        <w:jc w:val="center"/>
      </w:pPr>
      <w:r>
        <w:rPr>
          <w:rFonts w:ascii="Times New Roman" w:hAnsi="Times New Roman"/>
          <w:b w:val="false"/>
          <w:i w:val="false"/>
          <w:color w:val="000000"/>
          <w:sz w:val="21"/>
        </w:rPr>
        <w:t>[Filed emergency 2/13/81—published 3/4/81, effective 2/13/81]</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12/22/86, Notice 11/5/86—published 1/14/87, effective 2/18/87]</w:t>
      </w:r>
    </w:p>
    <w:p>
      <w:pPr>
        <w:spacing w:before="0" w:after="0"/>
        <w:ind w:left="120"/>
        <w:jc w:val="center"/>
      </w:pPr>
      <w:r>
        <w:rPr>
          <w:rFonts w:ascii="Times New Roman" w:hAnsi="Times New Roman"/>
          <w:b w:val="false"/>
          <w:i w:val="false"/>
          <w:color w:val="000000"/>
          <w:sz w:val="21"/>
        </w:rPr>
        <w:t>[Filed 1/22/88, Notice 11/18/87—published 2/10/88, effective 3/16/88]</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3/28/90, Notice 11/1/89—published 4/18/90, effective 5/23/90]</w:t>
      </w:r>
    </w:p>
    <w:p>
      <w:pPr>
        <w:spacing w:before="0" w:after="0"/>
        <w:ind w:left="120"/>
        <w:jc w:val="center"/>
      </w:pPr>
      <w:r>
        <w:rPr>
          <w:rFonts w:ascii="Times New Roman" w:hAnsi="Times New Roman"/>
          <w:b w:val="false"/>
          <w:i w:val="false"/>
          <w:color w:val="000000"/>
          <w:sz w:val="21"/>
        </w:rPr>
        <w:t>[Filed 6/19/91, Notice 5/15/91—published 7/10/91, effective 8/14/91]</w:t>
      </w:r>
    </w:p>
    <w:p>
      <w:pPr>
        <w:spacing w:before="0" w:after="0"/>
        <w:ind w:left="120"/>
        <w:jc w:val="center"/>
      </w:pPr>
      <w:r>
        <w:rPr>
          <w:rFonts w:ascii="Times New Roman" w:hAnsi="Times New Roman"/>
          <w:b w:val="false"/>
          <w:i w:val="false"/>
          <w:color w:val="000000"/>
          <w:sz w:val="21"/>
        </w:rPr>
        <w:t>[Filed 7/23/93, Notice 6/9/93—published 8/18/93, effective 9/29/93]</w:t>
      </w:r>
    </w:p>
    <w:p>
      <w:pPr>
        <w:spacing w:before="0" w:after="0"/>
        <w:ind w:left="120"/>
        <w:jc w:val="center"/>
      </w:pPr>
      <w:r>
        <w:rPr>
          <w:rFonts w:ascii="Times New Roman" w:hAnsi="Times New Roman"/>
          <w:b w:val="false"/>
          <w:i w:val="false"/>
          <w:color w:val="000000"/>
          <w:sz w:val="21"/>
        </w:rPr>
        <w:t>[Filed 9/21/95, Notice 8/16/95—published 10/11/95, effective 11/15/95]</w:t>
      </w:r>
    </w:p>
    <w:p>
      <w:pPr>
        <w:spacing w:before="0" w:after="0"/>
        <w:ind w:left="120"/>
        <w:jc w:val="center"/>
      </w:pPr>
      <w:r>
        <w:rPr>
          <w:rFonts w:ascii="Times New Roman" w:hAnsi="Times New Roman"/>
          <w:b w:val="false"/>
          <w:i w:val="false"/>
          <w:color w:val="000000"/>
          <w:sz w:val="21"/>
        </w:rPr>
        <w:t>[Filed 12/23/97, Notice 11/5/97—published 1/14/98, effective 2/18/98]</w:t>
      </w:r>
    </w:p>
    <w:p>
      <w:pPr>
        <w:spacing w:before="0" w:after="0"/>
        <w:ind w:left="120"/>
        <w:jc w:val="center"/>
      </w:pPr>
      <w:r>
        <w:rPr>
          <w:rFonts w:ascii="Times New Roman" w:hAnsi="Times New Roman"/>
          <w:b w:val="false"/>
          <w:i w:val="false"/>
          <w:color w:val="000000"/>
          <w:sz w:val="21"/>
        </w:rPr>
        <w:t>[Filed 3/20/98, Notice 2/11/98—published 4/8/98, effective 6/1/98]</w:t>
      </w:r>
    </w:p>
    <w:p>
      <w:pPr>
        <w:spacing w:before="0" w:after="0"/>
        <w:ind w:left="120"/>
        <w:jc w:val="center"/>
      </w:pPr>
      <w:r>
        <w:rPr>
          <w:rFonts w:ascii="Times New Roman" w:hAnsi="Times New Roman"/>
          <w:b w:val="false"/>
          <w:i w:val="false"/>
          <w:color w:val="000000"/>
          <w:sz w:val="21"/>
        </w:rPr>
        <w:t>[Filed 6/2/04, Notice 3/31/04—published 6/23/04, effective 7/28/04]</w:t>
      </w:r>
    </w:p>
    <w:p>
      <w:pPr>
        <w:spacing w:before="0" w:after="0"/>
        <w:ind w:left="120"/>
        <w:jc w:val="center"/>
      </w:pPr>
      <w:r>
        <w:rPr>
          <w:rFonts w:ascii="Times New Roman" w:hAnsi="Times New Roman"/>
          <w:b w:val="false"/>
          <w:i w:val="false"/>
          <w:color w:val="000000"/>
          <w:sz w:val="21"/>
        </w:rPr>
        <w:t>[Filed emergency 9/24/04—published 10/13/04, effective 9/24/04]</w:t>
      </w:r>
    </w:p>
    <w:p>
      <w:pPr>
        <w:spacing w:before="0" w:after="0"/>
        <w:ind w:left="120"/>
        <w:jc w:val="center"/>
      </w:pPr>
      <w:r>
        <w:rPr>
          <w:rFonts w:ascii="Times New Roman" w:hAnsi="Times New Roman"/>
          <w:b w:val="false"/>
          <w:i w:val="false"/>
          <w:color w:val="000000"/>
          <w:sz w:val="21"/>
        </w:rPr>
        <w:t>[Filed 8/11/06, Notice 5/24/06—published 8/30/06, effective 10/4/06]</w:t>
      </w:r>
    </w:p>
    <w:p>
      <w:pPr>
        <w:spacing w:before="0" w:after="0"/>
        <w:ind w:left="120"/>
        <w:jc w:val="center"/>
      </w:pPr>
      <w:r>
        <w:rPr>
          <w:rFonts w:ascii="Times New Roman" w:hAnsi="Times New Roman"/>
          <w:b w:val="false"/>
          <w:i w:val="false"/>
          <w:color w:val="000000"/>
          <w:sz w:val="21"/>
        </w:rPr>
        <w:t>[Filed 5/3/07, Notice 2/28/07—published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7911B, IAB 7/1/09, effective 7/1/09]</w:t>
      </w:r>
    </w:p>
    <w:p>
      <w:pPr>
        <w:spacing w:before="0" w:after="0"/>
        <w:ind w:left="120"/>
        <w:jc w:val="center"/>
      </w:pPr>
      <w:r>
        <w:rPr>
          <w:rFonts w:ascii="Times New Roman" w:hAnsi="Times New Roman"/>
          <w:b w:val="false"/>
          <w:i w:val="false"/>
          <w:color w:val="000000"/>
          <w:sz w:val="21"/>
        </w:rPr>
        <w:t>[Filed ARC 9034B</w:t>
      </w:r>
      <w:r>
        <w:rPr>
          <w:rFonts w:ascii="Times New Roman" w:hAnsi="Times New Roman"/>
          <w:b w:val="false"/>
          <w:i w:val="false"/>
          <w:color w:val="000000"/>
          <w:sz w:val="21"/>
        </w:rPr>
        <w:t xml:space="preserve"> (Notice ARC 8854B, IAB 6/16/10)</w:t>
      </w:r>
      <w:r>
        <w:rPr>
          <w:rFonts w:ascii="Times New Roman" w:hAnsi="Times New Roman"/>
          <w:b w:val="false"/>
          <w:i w:val="false"/>
          <w:color w:val="000000"/>
          <w:sz w:val="21"/>
        </w:rPr>
        <w:t>, IAB 8/25/10, effective 9/29/10]</w:t>
      </w:r>
      <w:r>
        <w:br/>
      </w:r>
      <w:r>
        <w:rPr>
          <w:rFonts w:ascii="Times New Roman" w:hAnsi="Times New Roman"/>
          <w:b w:val="false"/>
          <w:i w:val="false"/>
          <w:color w:val="000000"/>
          <w:sz w:val="21"/>
        </w:rPr>
        <w:t>[Filed ARC 9033B</w:t>
      </w:r>
      <w:r>
        <w:rPr>
          <w:rFonts w:ascii="Times New Roman" w:hAnsi="Times New Roman"/>
          <w:b w:val="false"/>
          <w:i w:val="false"/>
          <w:color w:val="000000"/>
          <w:sz w:val="21"/>
        </w:rPr>
        <w:t xml:space="preserve"> (Notice ARC 8807B,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0037C</w:t>
      </w:r>
      <w:r>
        <w:rPr>
          <w:rFonts w:ascii="Times New Roman" w:hAnsi="Times New Roman"/>
          <w:b w:val="false"/>
          <w:i w:val="false"/>
          <w:color w:val="000000"/>
          <w:sz w:val="21"/>
        </w:rPr>
        <w:t xml:space="preserve"> (Notice ARC 9869B, IAB 11/30/11)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0630C</w:t>
      </w:r>
      <w:r>
        <w:rPr>
          <w:rFonts w:ascii="Times New Roman" w:hAnsi="Times New Roman"/>
          <w:b w:val="false"/>
          <w:i w:val="false"/>
          <w:color w:val="000000"/>
          <w:sz w:val="21"/>
        </w:rPr>
        <w:t xml:space="preserve"> (Notice ARC 0469C, IAB 11/28/12)</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1895C</w:t>
      </w:r>
      <w:r>
        <w:rPr>
          <w:rFonts w:ascii="Times New Roman" w:hAnsi="Times New Roman"/>
          <w:b w:val="false"/>
          <w:i w:val="false"/>
          <w:color w:val="000000"/>
          <w:sz w:val="21"/>
        </w:rPr>
        <w:t xml:space="preserve"> (Notice ARC 1743C, IAB 11/26/14)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1991C</w:t>
      </w:r>
      <w:r>
        <w:rPr>
          <w:rFonts w:ascii="Times New Roman" w:hAnsi="Times New Roman"/>
          <w:b w:val="false"/>
          <w:i w:val="false"/>
          <w:color w:val="000000"/>
          <w:sz w:val="21"/>
        </w:rPr>
        <w:t xml:space="preserve"> (Notice ARC 1902C, IAB 3/4/15)</w:t>
      </w:r>
      <w:r>
        <w:rPr>
          <w:rFonts w:ascii="Times New Roman" w:hAnsi="Times New Roman"/>
          <w:b w:val="false"/>
          <w:i w:val="false"/>
          <w:color w:val="000000"/>
          <w:sz w:val="21"/>
        </w:rPr>
        <w:t>, IAB 5/13/15, effective 6/17/15]</w:t>
      </w:r>
    </w:p>
    <w:p>
      <w:pPr>
        <w:spacing w:before="0" w:after="0"/>
        <w:ind w:left="120"/>
        <w:jc w:val="center"/>
      </w:pPr>
      <w:r>
        <w:rPr>
          <w:rFonts w:ascii="Times New Roman" w:hAnsi="Times New Roman"/>
          <w:b w:val="false"/>
          <w:i w:val="false"/>
          <w:color w:val="000000"/>
          <w:sz w:val="21"/>
        </w:rPr>
        <w:t>[Filed ARC 2051C</w:t>
      </w:r>
      <w:r>
        <w:rPr>
          <w:rFonts w:ascii="Times New Roman" w:hAnsi="Times New Roman"/>
          <w:b w:val="false"/>
          <w:i w:val="false"/>
          <w:color w:val="000000"/>
          <w:sz w:val="21"/>
        </w:rPr>
        <w:t xml:space="preserve"> (Notice ARC 1916C, IAB 3/18/15)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Emergency After Notice ARC 2332C</w:t>
      </w:r>
      <w:r>
        <w:rPr>
          <w:rFonts w:ascii="Times New Roman" w:hAnsi="Times New Roman"/>
          <w:b w:val="false"/>
          <w:i w:val="false"/>
          <w:color w:val="000000"/>
          <w:sz w:val="21"/>
        </w:rPr>
        <w:t xml:space="preserve"> (Notice ARC 2176C, IAB 9/30/15)</w:t>
      </w:r>
      <w:r>
        <w:rPr>
          <w:rFonts w:ascii="Times New Roman" w:hAnsi="Times New Roman"/>
          <w:b w:val="false"/>
          <w:i w:val="false"/>
          <w:color w:val="000000"/>
          <w:sz w:val="21"/>
        </w:rPr>
        <w:t>, IAB 12/23/15, effective 12/23/15]</w:t>
      </w:r>
    </w:p>
    <w:p>
      <w:pPr>
        <w:spacing w:before="0" w:after="0"/>
        <w:ind w:left="120"/>
        <w:jc w:val="center"/>
      </w:pPr>
      <w:r>
        <w:rPr>
          <w:rFonts w:ascii="Times New Roman" w:hAnsi="Times New Roman"/>
          <w:b w:val="false"/>
          <w:i w:val="false"/>
          <w:color w:val="000000"/>
          <w:sz w:val="21"/>
        </w:rPr>
        <w:t>[Filed ARC 2982C</w:t>
      </w:r>
      <w:r>
        <w:rPr>
          <w:rFonts w:ascii="Times New Roman" w:hAnsi="Times New Roman"/>
          <w:b w:val="false"/>
          <w:i w:val="false"/>
          <w:color w:val="000000"/>
          <w:sz w:val="21"/>
        </w:rPr>
        <w:t xml:space="preserve"> (Notice ARC 2818C, IAB 11/23/16)</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3986C</w:t>
      </w:r>
      <w:r>
        <w:rPr>
          <w:rFonts w:ascii="Times New Roman" w:hAnsi="Times New Roman"/>
          <w:b w:val="false"/>
          <w:i w:val="false"/>
          <w:color w:val="000000"/>
          <w:sz w:val="21"/>
        </w:rPr>
        <w:t xml:space="preserve"> (Notice ARC 3780C, IAB 5/9/18)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4079C</w:t>
      </w:r>
      <w:r>
        <w:rPr>
          <w:rFonts w:ascii="Times New Roman" w:hAnsi="Times New Roman"/>
          <w:b w:val="false"/>
          <w:i w:val="false"/>
          <w:color w:val="000000"/>
          <w:sz w:val="21"/>
        </w:rPr>
        <w:t xml:space="preserve"> (Notice ARC 3867C, IAB 7/4/18)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5946C</w:t>
      </w:r>
      <w:r>
        <w:rPr>
          <w:rFonts w:ascii="Times New Roman" w:hAnsi="Times New Roman"/>
          <w:b w:val="false"/>
          <w:i w:val="false"/>
          <w:color w:val="000000"/>
          <w:sz w:val="21"/>
        </w:rPr>
        <w:t xml:space="preserve"> (Notice ARC 5694C,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6304C</w:t>
      </w:r>
      <w:r>
        <w:rPr>
          <w:rFonts w:ascii="Times New Roman" w:hAnsi="Times New Roman"/>
          <w:b w:val="false"/>
          <w:i w:val="false"/>
          <w:color w:val="000000"/>
          <w:sz w:val="21"/>
        </w:rPr>
        <w:t xml:space="preserve"> (Notice ARC 6181C, IAB 2/9/22)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0417D</w:t>
      </w:r>
      <w:r>
        <w:rPr>
          <w:rFonts w:ascii="Times New Roman" w:hAnsi="Times New Roman"/>
          <w:b w:val="false"/>
          <w:i w:val="false"/>
          <w:color w:val="000000"/>
          <w:sz w:val="21"/>
        </w:rPr>
        <w:t xml:space="preserve"> (Notice ARC 0163D, IAB 4/1/26)</w:t>
      </w:r>
      <w:r>
        <w:rPr>
          <w:rFonts w:ascii="Times New Roman" w:hAnsi="Times New Roman"/>
          <w:b w:val="false"/>
          <w:i w:val="false"/>
          <w:color w:val="000000"/>
          <w:sz w:val="21"/>
        </w:rPr>
        <w:t>, IAB 7/8/26, effective 8/12/26]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2.9.pdf" Type="http://schemas.openxmlformats.org/officeDocument/2006/relationships/hyperlink" Id="rId5"/>
    <Relationship TargetMode="External" Target="https://www.legis.iowa.gov/docs/ico/chapter/262.9.pdf" Type="http://schemas.openxmlformats.org/officeDocument/2006/relationships/hyperlink" Id="rId6"/>
    <Relationship TargetMode="External" Target="https://www.legis.iowa.gov/docs/ico/chapter/262.9.pdf" Type="http://schemas.openxmlformats.org/officeDocument/2006/relationships/hyperlink" Id="rId7"/>
    <Relationship TargetMode="External" Target="https://www.legis.iowa.gov/docs/ico/chapter/262.9.pdf" Type="http://schemas.openxmlformats.org/officeDocument/2006/relationships/hyperlink" Id="rId8"/>
    <Relationship TargetMode="External" Target="https://www.legis.iowa.gov/docs/ico/chapter/262.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