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95</w:t>
      </w:r>
    </w:p>
    <w:p>
      <w:pPr>
        <w:spacing w:before="0" w:after="0"/>
        <w:ind w:left="120"/>
        <w:jc w:val="center"/>
      </w:pPr>
      <w:r>
        <w:rPr>
          <w:rFonts w:ascii="Times New Roman" w:hAnsi="Times New Roman"/>
          <w:b w:val="false"/>
          <w:i w:val="false"/>
          <w:color w:val="000000"/>
          <w:sz w:val="21"/>
        </w:rPr>
        <w:t>DISPOSITION OF SEIZED AND FORFEITED WEAPONS AND AMMUNITION</w:t>
      </w:r>
    </w:p>
    <w:p>
      <w:pPr>
        <w:spacing w:before="0" w:after="0"/>
        <w:ind w:left="120"/>
        <w:jc w:val="center"/>
      </w:pPr>
      <w:r>
        <w:rPr>
          <w:rFonts w:ascii="Times New Roman" w:hAnsi="Times New Roman"/>
          <w:b w:val="false"/>
          <w:i w:val="false"/>
          <w:color w:val="000000"/>
          <w:sz w:val="20"/>
        </w:rPr>
        <w:t>[Prior to 5/9/07, see rules 661—4.51(809A) to 661—4.59(809A)]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12/2/31</w:t>
      </w:r>
    </w:p>
    <w:p>
      <w:pPr>
        <w:spacing w:before="0" w:after="0"/>
        <w:ind w:left="120"/>
        <w:jc w:val="both"/>
      </w:pPr>
      <w:r>
        <w:rPr>
          <w:rFonts w:ascii="Times New Roman" w:hAnsi="Times New Roman"/>
          <w:b/>
          <w:i w:val="false"/>
          <w:color w:val="000000"/>
          <w:sz w:val="22"/>
        </w:rPr>
        <w:t>661—95.1</w:t>
      </w:r>
      <w:r>
        <w:rPr>
          <w:rFonts w:ascii="Times New Roman" w:hAnsi="Times New Roman"/>
          <w:b/>
          <w:i w:val="false"/>
          <w:color w:val="000000"/>
          <w:sz w:val="22"/>
        </w:rPr>
        <w:t xml:space="preserve">(809,809A)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“Ammunition reference file”</w:t>
      </w:r>
      <w:r>
        <w:rPr>
          <w:rFonts w:ascii="Times New Roman" w:hAnsi="Times New Roman"/>
          <w:b w:val="false"/>
          <w:i w:val="false"/>
          <w:color w:val="000000"/>
          <w:sz w:val="22"/>
        </w:rPr>
        <w:t> </w:t>
      </w:r>
      <w:r>
        <w:rPr>
          <w:rFonts w:ascii="Times New Roman" w:hAnsi="Times New Roman"/>
          <w:b w:val="false"/>
          <w:i w:val="false"/>
          <w:color w:val="000000"/>
          <w:sz w:val="22"/>
        </w:rPr>
        <w:t>means the physical collection of ammunition received, collected and maintained by the division of criminal investigation criminalistics laboratory for testing and evaluation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“Firearms inventory”</w:t>
      </w:r>
      <w:r>
        <w:rPr>
          <w:rFonts w:ascii="Times New Roman" w:hAnsi="Times New Roman"/>
          <w:b w:val="false"/>
          <w:i w:val="false"/>
          <w:color w:val="000000"/>
          <w:sz w:val="22"/>
        </w:rPr>
        <w:t> </w:t>
      </w:r>
      <w:r>
        <w:rPr>
          <w:rFonts w:ascii="Times New Roman" w:hAnsi="Times New Roman"/>
          <w:b w:val="false"/>
          <w:i w:val="false"/>
          <w:color w:val="000000"/>
          <w:sz w:val="22"/>
        </w:rPr>
        <w:t>means a listing of firearms received, collected, maintained, and disposed of by the division of criminal investigation criminalistics laboratory and of transactions regarding firearms completed by the laboratory. Firearms in the temporary custody of the laboratory for evidentiary examination are not included in the firearms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“Firearms reference file”</w:t>
      </w:r>
      <w:r>
        <w:rPr>
          <w:rFonts w:ascii="Times New Roman" w:hAnsi="Times New Roman"/>
          <w:b w:val="false"/>
          <w:i w:val="false"/>
          <w:color w:val="000000"/>
          <w:sz w:val="22"/>
        </w:rPr>
        <w:t> </w:t>
      </w:r>
      <w:r>
        <w:rPr>
          <w:rFonts w:ascii="Times New Roman" w:hAnsi="Times New Roman"/>
          <w:b w:val="false"/>
          <w:i w:val="false"/>
          <w:color w:val="000000"/>
          <w:sz w:val="22"/>
        </w:rPr>
        <w:t>means the physical collection of firearms received, collected and maintained by the division of criminal investigation criminalistics laboratory for comparison and identification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661—95.2</w:t>
      </w:r>
      <w:r>
        <w:rPr>
          <w:rFonts w:ascii="Times New Roman" w:hAnsi="Times New Roman"/>
          <w:b/>
          <w:i w:val="false"/>
          <w:color w:val="000000"/>
          <w:sz w:val="22"/>
        </w:rPr>
        <w:t xml:space="preserve">(809,809A) </w:t>
      </w:r>
      <w:r>
        <w:rPr>
          <w:rFonts w:ascii="Times New Roman" w:hAnsi="Times New Roman"/>
          <w:b/>
          <w:i w:val="false"/>
          <w:color w:val="000000"/>
          <w:sz w:val="22"/>
        </w:rPr>
        <w:t xml:space="preserve">Ammunition and firearms. </w:t>
      </w:r>
      <w:r>
        <w:rPr>
          <w:rFonts w:ascii="Times New Roman" w:hAnsi="Times New Roman"/>
          <w:b w:val="false"/>
          <w:i w:val="false"/>
          <w:color w:val="000000"/>
          <w:sz w:val="22"/>
        </w:rPr>
        <w:t xml:space="preserve">The division of criminal investigation criminalistics laboratory shall examine and evaluate all firearms and ammunition submitted to the laboratory pursuant to Iowa Code section </w:t>
      </w:r>
      <w:hyperlink r:id="rId5">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 xml:space="preserve">. All firearms submitted to the laboratory shall be evaluated and disposed of as provided in Iowa Code sections </w:t>
      </w:r>
      <w:hyperlink r:id="rId6">
        <w:r>
          <w:rPr>
            <w:rStyle w:val="Hyperlink"/>
            <w:rFonts w:ascii="Times New Roman" w:hAnsi="Times New Roman"/>
            <w:b w:val="false"/>
            <w:i w:val="false"/>
            <w:color w:val="000000"/>
            <w:sz w:val="22"/>
          </w:rPr>
          <w:t>809.21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 xml:space="preserve"> and these rules. Any ammunition submitted to the laboratory may be entered into the laboratory’s ammunition reference file and may be utilized by the laboratory for testing and evaluation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661—95.3</w:t>
      </w:r>
      <w:r>
        <w:rPr>
          <w:rFonts w:ascii="Times New Roman" w:hAnsi="Times New Roman"/>
          <w:b/>
          <w:i w:val="false"/>
          <w:color w:val="000000"/>
          <w:sz w:val="22"/>
        </w:rPr>
        <w:t xml:space="preserve">(809,809A) </w:t>
      </w:r>
      <w:r>
        <w:rPr>
          <w:rFonts w:ascii="Times New Roman" w:hAnsi="Times New Roman"/>
          <w:b/>
          <w:i w:val="false"/>
          <w:color w:val="000000"/>
          <w:sz w:val="22"/>
        </w:rPr>
        <w:t xml:space="preserve">Firearms inventory. </w:t>
      </w:r>
      <w:r>
        <w:rPr>
          <w:rFonts w:ascii="Times New Roman" w:hAnsi="Times New Roman"/>
          <w:b w:val="false"/>
          <w:i w:val="false"/>
          <w:color w:val="000000"/>
          <w:sz w:val="22"/>
        </w:rPr>
        <w:t>There is established a continuous firearms inventory in the division of criminal investigation criminalistics laboratory. All firearms transactions covered by any of the provisions noted herein, other than receipts and returns of weapons for evidentiary examination, shall be recorded as and made a part of the continuous firearms inventory. Each individual entry in the inventory shall be maintained for a period of no less than 20 years. Inventory entries that refer to firearms retained in the firearms reference file shall be maintained permanently.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661—95.4</w:t>
      </w:r>
      <w:r>
        <w:rPr>
          <w:rFonts w:ascii="Times New Roman" w:hAnsi="Times New Roman"/>
          <w:b/>
          <w:i w:val="false"/>
          <w:color w:val="000000"/>
          <w:sz w:val="22"/>
        </w:rPr>
        <w:t xml:space="preserve">(809,809A) </w:t>
      </w:r>
      <w:r>
        <w:rPr>
          <w:rFonts w:ascii="Times New Roman" w:hAnsi="Times New Roman"/>
          <w:b/>
          <w:i w:val="false"/>
          <w:color w:val="000000"/>
          <w:sz w:val="22"/>
        </w:rPr>
        <w:t xml:space="preserve">Deposit of firearms in the firearms reference file. </w:t>
      </w:r>
      <w:r>
        <w:rPr>
          <w:rFonts w:ascii="Times New Roman" w:hAnsi="Times New Roman"/>
          <w:b w:val="false"/>
          <w:i w:val="false"/>
          <w:color w:val="000000"/>
          <w:sz w:val="22"/>
        </w:rPr>
        <w:t>There is established a division of criminal investigation criminalistics laboratory firearms reference file. Firearms submitted to the laboratory, other than firearms submitted solely for evidentiary examination, shall be evaluated as to their possible worth for testing and evaluation purposes. Any firearms deemed useful for such purposes shall be deposited in the firearms reference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661—95.5</w:t>
      </w:r>
      <w:r>
        <w:rPr>
          <w:rFonts w:ascii="Times New Roman" w:hAnsi="Times New Roman"/>
          <w:b/>
          <w:i w:val="false"/>
          <w:color w:val="000000"/>
          <w:sz w:val="22"/>
        </w:rPr>
        <w:t xml:space="preserve">(809,809A) </w:t>
      </w:r>
      <w:r>
        <w:rPr>
          <w:rFonts w:ascii="Times New Roman" w:hAnsi="Times New Roman"/>
          <w:b/>
          <w:i w:val="false"/>
          <w:color w:val="000000"/>
          <w:sz w:val="22"/>
        </w:rPr>
        <w:t xml:space="preserve">Disposition of firearms (interstate). </w:t>
      </w:r>
      <w:r>
        <w:rPr>
          <w:rFonts w:ascii="Times New Roman" w:hAnsi="Times New Roman"/>
          <w:b w:val="false"/>
          <w:i w:val="false"/>
          <w:color w:val="000000"/>
          <w:sz w:val="22"/>
        </w:rPr>
        <w:t xml:space="preserve">Any firearm in the possession of the division of criminal investigation criminalistics laboratory pursuant to Iowa Code section </w:t>
      </w:r>
      <w:hyperlink r:id="rId8">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 xml:space="preserve"> that is not entered into the firearms reference file pursuant to the provisions of rule </w:t>
      </w:r>
      <w:hyperlink r:id="rId9">
        <w:r>
          <w:rPr>
            <w:rStyle w:val="Hyperlink"/>
            <w:rFonts w:ascii="Times New Roman" w:hAnsi="Times New Roman"/>
            <w:b w:val="false"/>
            <w:i w:val="false"/>
            <w:color w:val="000000"/>
            <w:sz w:val="22"/>
          </w:rPr>
          <w:t>661—95.4</w:t>
        </w:r>
      </w:hyperlink>
      <w:r>
        <w:rPr>
          <w:rFonts w:ascii="Times New Roman" w:hAnsi="Times New Roman"/>
          <w:b w:val="false"/>
          <w:i w:val="false"/>
          <w:color w:val="000000"/>
          <w:sz w:val="22"/>
        </w:rPr>
        <w:t>(809,809A) and that the commissioner of public safety deems appropriate for distribution to other crime laboratories may be offered to them.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661—95.6</w:t>
      </w:r>
      <w:r>
        <w:rPr>
          <w:rFonts w:ascii="Times New Roman" w:hAnsi="Times New Roman"/>
          <w:b/>
          <w:i w:val="false"/>
          <w:color w:val="000000"/>
          <w:sz w:val="22"/>
        </w:rPr>
        <w:t xml:space="preserve">(809A) </w:t>
      </w:r>
      <w:r>
        <w:rPr>
          <w:rFonts w:ascii="Times New Roman" w:hAnsi="Times New Roman"/>
          <w:b/>
          <w:i w:val="false"/>
          <w:color w:val="000000"/>
          <w:sz w:val="22"/>
        </w:rPr>
        <w:t xml:space="preserve">Transfer of rifles and shotguns to the department of natural resources. </w:t>
      </w:r>
      <w:r>
        <w:rPr>
          <w:rFonts w:ascii="Times New Roman" w:hAnsi="Times New Roman"/>
          <w:b w:val="false"/>
          <w:i w:val="false"/>
          <w:color w:val="000000"/>
          <w:sz w:val="22"/>
        </w:rPr>
        <w:t xml:space="preserve">Any rifle or shotgun in the possession of the division of criminal investigation criminalistics laboratory pursuant to Iowa Code section </w:t>
      </w:r>
      <w:hyperlink r:id="rId10">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 xml:space="preserve"> that is not entered in the firearms reference file pursuant to rule </w:t>
      </w:r>
      <w:hyperlink r:id="rId11">
        <w:r>
          <w:rPr>
            <w:rStyle w:val="Hyperlink"/>
            <w:rFonts w:ascii="Times New Roman" w:hAnsi="Times New Roman"/>
            <w:b w:val="false"/>
            <w:i w:val="false"/>
            <w:color w:val="000000"/>
            <w:sz w:val="22"/>
          </w:rPr>
          <w:t>661—95.4</w:t>
        </w:r>
      </w:hyperlink>
      <w:r>
        <w:rPr>
          <w:rFonts w:ascii="Times New Roman" w:hAnsi="Times New Roman"/>
          <w:b w:val="false"/>
          <w:i w:val="false"/>
          <w:color w:val="000000"/>
          <w:sz w:val="22"/>
        </w:rPr>
        <w:t xml:space="preserve">(809,809A) or distributed to another crime laboratory pursuant to rule </w:t>
      </w:r>
      <w:hyperlink r:id="rId12">
        <w:r>
          <w:rPr>
            <w:rStyle w:val="Hyperlink"/>
            <w:rFonts w:ascii="Times New Roman" w:hAnsi="Times New Roman"/>
            <w:b w:val="false"/>
            <w:i w:val="false"/>
            <w:color w:val="000000"/>
            <w:sz w:val="22"/>
          </w:rPr>
          <w:t>661—95.5</w:t>
        </w:r>
      </w:hyperlink>
      <w:r>
        <w:rPr>
          <w:rFonts w:ascii="Times New Roman" w:hAnsi="Times New Roman"/>
          <w:b w:val="false"/>
          <w:i w:val="false"/>
          <w:color w:val="000000"/>
          <w:sz w:val="22"/>
        </w:rPr>
        <w:t>(809,809A) may be transferred to the department of natural resources for disposition pursuant to the rules of that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661—95.7</w:t>
      </w:r>
      <w:r>
        <w:rPr>
          <w:rFonts w:ascii="Times New Roman" w:hAnsi="Times New Roman"/>
          <w:b/>
          <w:i w:val="false"/>
          <w:color w:val="000000"/>
          <w:sz w:val="22"/>
        </w:rPr>
        <w:t xml:space="preserve">(809,809A) </w:t>
      </w:r>
      <w:r>
        <w:rPr>
          <w:rFonts w:ascii="Times New Roman" w:hAnsi="Times New Roman"/>
          <w:b/>
          <w:i w:val="false"/>
          <w:color w:val="000000"/>
          <w:sz w:val="22"/>
        </w:rPr>
        <w:t xml:space="preserve">Disposition of firearms (intrastate). </w:t>
      </w:r>
      <w:r>
        <w:rPr>
          <w:rFonts w:ascii="Times New Roman" w:hAnsi="Times New Roman"/>
          <w:b w:val="false"/>
          <w:i w:val="false"/>
          <w:color w:val="000000"/>
          <w:sz w:val="22"/>
        </w:rPr>
        <w:t xml:space="preserve">Any firearm not entered in the firearms reference file pursuant to rule </w:t>
      </w:r>
      <w:hyperlink r:id="rId13">
        <w:r>
          <w:rPr>
            <w:rStyle w:val="Hyperlink"/>
            <w:rFonts w:ascii="Times New Roman" w:hAnsi="Times New Roman"/>
            <w:b w:val="false"/>
            <w:i w:val="false"/>
            <w:color w:val="000000"/>
            <w:sz w:val="22"/>
          </w:rPr>
          <w:t>661—95.4</w:t>
        </w:r>
      </w:hyperlink>
      <w:r>
        <w:rPr>
          <w:rFonts w:ascii="Times New Roman" w:hAnsi="Times New Roman"/>
          <w:b w:val="false"/>
          <w:i w:val="false"/>
          <w:color w:val="000000"/>
          <w:sz w:val="22"/>
        </w:rPr>
        <w:t xml:space="preserve">(809,809A) and still in the possession of the division of criminal investigation criminalistics laboratory pursuant to Iowa Code section </w:t>
      </w:r>
      <w:hyperlink r:id="rId14">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 xml:space="preserve">, subsequent to the procedures set out in rules </w:t>
      </w:r>
      <w:hyperlink r:id="rId15">
        <w:r>
          <w:rPr>
            <w:rStyle w:val="Hyperlink"/>
            <w:rFonts w:ascii="Times New Roman" w:hAnsi="Times New Roman"/>
            <w:b w:val="false"/>
            <w:i w:val="false"/>
            <w:color w:val="000000"/>
            <w:sz w:val="22"/>
          </w:rPr>
          <w:t>661—95.5</w:t>
        </w:r>
      </w:hyperlink>
      <w:r>
        <w:rPr>
          <w:rFonts w:ascii="Times New Roman" w:hAnsi="Times New Roman"/>
          <w:b w:val="false"/>
          <w:i w:val="false"/>
          <w:color w:val="000000"/>
          <w:sz w:val="22"/>
        </w:rPr>
        <w:t xml:space="preserve">(809,809A) and </w:t>
      </w:r>
      <w:hyperlink r:id="rId16">
        <w:r>
          <w:rPr>
            <w:rStyle w:val="Hyperlink"/>
            <w:rFonts w:ascii="Times New Roman" w:hAnsi="Times New Roman"/>
            <w:b w:val="false"/>
            <w:i w:val="false"/>
            <w:color w:val="000000"/>
            <w:sz w:val="22"/>
          </w:rPr>
          <w:t>661—95.6</w:t>
        </w:r>
      </w:hyperlink>
      <w:r>
        <w:rPr>
          <w:rFonts w:ascii="Times New Roman" w:hAnsi="Times New Roman"/>
          <w:b w:val="false"/>
          <w:i w:val="false"/>
          <w:color w:val="000000"/>
          <w:sz w:val="22"/>
        </w:rPr>
        <w:t>(809A), shall be evaluated for usefulness to Iowa law enforcement agencies. Any firearm that is deemed suitable for law enforcement purposes may be distributed to an Iowa law enforcement agency that has made a request for such firearm. This distribution shall be made in accordance with the reasonable needs of the requesting agency as determined by the commissioner of public safety. Any firearm received by a law enforcement agency pursuant to this rule is for the internal use of the receiving agency and cannot be resold or otherwise distributed outside of the receiving agency, other than to be returned to the division of criminal investigation criminalistics laboratory.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661—95.8</w:t>
      </w:r>
      <w:r>
        <w:rPr>
          <w:rFonts w:ascii="Times New Roman" w:hAnsi="Times New Roman"/>
          <w:b/>
          <w:i w:val="false"/>
          <w:color w:val="000000"/>
          <w:sz w:val="22"/>
        </w:rPr>
        <w:t xml:space="preserve">(809,809A) </w:t>
      </w:r>
      <w:r>
        <w:rPr>
          <w:rFonts w:ascii="Times New Roman" w:hAnsi="Times New Roman"/>
          <w:b/>
          <w:i w:val="false"/>
          <w:color w:val="000000"/>
          <w:sz w:val="22"/>
        </w:rPr>
        <w:t xml:space="preserve">Final disposition and destruction of firearms. </w:t>
      </w:r>
      <w:r>
        <w:rPr>
          <w:rFonts w:ascii="Times New Roman" w:hAnsi="Times New Roman"/>
          <w:b w:val="false"/>
          <w:i w:val="false"/>
          <w:color w:val="000000"/>
          <w:sz w:val="22"/>
        </w:rPr>
        <w:t xml:space="preserve">All firearms in the possession of the division of criminal investigation criminalistics laboratory pursuant to Iowa Code section </w:t>
      </w:r>
      <w:hyperlink r:id="rId17">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 xml:space="preserve"> that are not disposed of by the procedures provided in rules </w:t>
      </w:r>
      <w:hyperlink r:id="rId18">
        <w:r>
          <w:rPr>
            <w:rStyle w:val="Hyperlink"/>
            <w:rFonts w:ascii="Times New Roman" w:hAnsi="Times New Roman"/>
            <w:b w:val="false"/>
            <w:i w:val="false"/>
            <w:color w:val="000000"/>
            <w:sz w:val="22"/>
          </w:rPr>
          <w:t>661—95.2</w:t>
        </w:r>
      </w:hyperlink>
      <w:r>
        <w:rPr>
          <w:rFonts w:ascii="Times New Roman" w:hAnsi="Times New Roman"/>
          <w:b w:val="false"/>
          <w:i w:val="false"/>
          <w:color w:val="000000"/>
          <w:sz w:val="22"/>
        </w:rPr>
        <w:t xml:space="preserve">(809,809A) through </w:t>
      </w:r>
      <w:hyperlink r:id="rId19">
        <w:r>
          <w:rPr>
            <w:rStyle w:val="Hyperlink"/>
            <w:rFonts w:ascii="Times New Roman" w:hAnsi="Times New Roman"/>
            <w:b w:val="false"/>
            <w:i w:val="false"/>
            <w:color w:val="000000"/>
            <w:sz w:val="22"/>
          </w:rPr>
          <w:t>661—95.7</w:t>
        </w:r>
      </w:hyperlink>
      <w:r>
        <w:rPr>
          <w:rFonts w:ascii="Times New Roman" w:hAnsi="Times New Roman"/>
          <w:b w:val="false"/>
          <w:i w:val="false"/>
          <w:color w:val="000000"/>
          <w:sz w:val="22"/>
        </w:rPr>
        <w:t>(809,809A) shall be destroyed and documented as such. Destruction shall be accomplished by grinding and chopping at a scrap metal facility or meltdown at a suitable foundry operation. All destruction shall be supervised and conducted by the staff of the division of criminal investigation criminalistics laboratory.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661—95.9</w:t>
      </w:r>
      <w:r>
        <w:rPr>
          <w:rFonts w:ascii="Times New Roman" w:hAnsi="Times New Roman"/>
          <w:b/>
          <w:i w:val="false"/>
          <w:color w:val="000000"/>
          <w:sz w:val="22"/>
        </w:rPr>
        <w:t xml:space="preserve">(809,809A) </w:t>
      </w:r>
      <w:r>
        <w:rPr>
          <w:rFonts w:ascii="Times New Roman" w:hAnsi="Times New Roman"/>
          <w:b/>
          <w:i w:val="false"/>
          <w:color w:val="000000"/>
          <w:sz w:val="22"/>
        </w:rPr>
        <w:t xml:space="preserve">Disposition of explosives. </w:t>
      </w:r>
      <w:r>
        <w:rPr>
          <w:rFonts w:ascii="Times New Roman" w:hAnsi="Times New Roman"/>
          <w:b w:val="false"/>
          <w:i w:val="false"/>
          <w:color w:val="000000"/>
          <w:sz w:val="22"/>
        </w:rPr>
        <w:t>Any law enforcement agency in possession of forfeited explosives shall contact the arson and explosives bureau of the fire marshal division for instructions and shall follow the instructions received from the fire marshal division for the disposition of the forfeited explosives.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661—95.10</w:t>
      </w:r>
      <w:r>
        <w:rPr>
          <w:rFonts w:ascii="Times New Roman" w:hAnsi="Times New Roman"/>
          <w:b/>
          <w:i w:val="false"/>
          <w:color w:val="000000"/>
          <w:sz w:val="22"/>
        </w:rPr>
        <w:t xml:space="preserve">(809,809A) </w:t>
      </w:r>
      <w:r>
        <w:rPr>
          <w:rFonts w:ascii="Times New Roman" w:hAnsi="Times New Roman"/>
          <w:b/>
          <w:i w:val="false"/>
          <w:color w:val="000000"/>
          <w:sz w:val="22"/>
        </w:rPr>
        <w:t xml:space="preserve">Disposition of weapons other than firearms and explosives. </w:t>
      </w:r>
      <w:r>
        <w:rPr>
          <w:rFonts w:ascii="Times New Roman" w:hAnsi="Times New Roman"/>
          <w:b w:val="false"/>
          <w:i w:val="false"/>
          <w:color w:val="000000"/>
          <w:sz w:val="22"/>
        </w:rPr>
        <w:t>Any law enforcement agency in the possession of a forfeited weapon other than a firearm, ammunition, or explosives may contact the division of criminal investigation criminalistics laboratory for instructions regarding the disposition of the forfeited weapons.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809.21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4/13/07, Notice 9/27/06—published 5/9/07, effective 7/1/07]</w:t>
      </w:r>
    </w:p>
    <w:p>
      <w:pPr>
        <w:spacing w:before="0" w:after="0"/>
        <w:ind w:left="120"/>
        <w:jc w:val="center"/>
      </w:pPr>
      <w:r>
        <w:rPr>
          <w:rFonts w:ascii="Times New Roman" w:hAnsi="Times New Roman"/>
          <w:b w:val="false"/>
          <w:i w:val="false"/>
          <w:color w:val="000000"/>
          <w:sz w:val="21"/>
        </w:rPr>
        <w:t>[Filed ARC 0219C</w:t>
      </w:r>
      <w:r>
        <w:rPr>
          <w:rFonts w:ascii="Times New Roman" w:hAnsi="Times New Roman"/>
          <w:b w:val="false"/>
          <w:i w:val="false"/>
          <w:color w:val="000000"/>
          <w:sz w:val="21"/>
        </w:rPr>
        <w:t xml:space="preserve"> (Notice ARC 0098C, IAB 4/18/12)</w:t>
      </w:r>
      <w:r>
        <w:rPr>
          <w:rFonts w:ascii="Times New Roman" w:hAnsi="Times New Roman"/>
          <w:b w:val="false"/>
          <w:i w:val="false"/>
          <w:color w:val="000000"/>
          <w:sz w:val="21"/>
        </w:rPr>
        <w:t>, IAB 7/25/12, effective 9/1/12]</w:t>
      </w:r>
    </w:p>
    <w:p>
      <w:pPr>
        <w:spacing w:before="0" w:after="0"/>
        <w:ind w:left="120"/>
        <w:jc w:val="center"/>
      </w:pPr>
      <w:r>
        <w:rPr>
          <w:rFonts w:ascii="Times New Roman" w:hAnsi="Times New Roman"/>
          <w:b w:val="false"/>
          <w:i w:val="false"/>
          <w:color w:val="000000"/>
          <w:sz w:val="21"/>
        </w:rPr>
        <w:t>[Filed ARC 0698D</w:t>
      </w:r>
      <w:r>
        <w:rPr>
          <w:rFonts w:ascii="Times New Roman" w:hAnsi="Times New Roman"/>
          <w:b w:val="false"/>
          <w:i w:val="false"/>
          <w:color w:val="000000"/>
          <w:sz w:val="21"/>
        </w:rPr>
        <w:t xml:space="preserve"> (Notice ARC 0533D, IAB 9/2/26)</w:t>
      </w:r>
      <w:r>
        <w:rPr>
          <w:rFonts w:ascii="Times New Roman" w:hAnsi="Times New Roman"/>
          <w:b w:val="false"/>
          <w:i w:val="false"/>
          <w:color w:val="000000"/>
          <w:sz w:val="21"/>
        </w:rPr>
        <w:t>, IAB 10/28/26, effective 12/2/26]</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9A.17.pdf" Type="http://schemas.openxmlformats.org/officeDocument/2006/relationships/hyperlink" Id="rId5"/>
    <Relationship TargetMode="External" Target="https://www.legis.iowa.gov/docs/ico/chapter/809.21.pdf" Type="http://schemas.openxmlformats.org/officeDocument/2006/relationships/hyperlink" Id="rId6"/>
    <Relationship TargetMode="External" Target="https://www.legis.iowa.gov/docs/ico/chapter/809A.17.pdf" Type="http://schemas.openxmlformats.org/officeDocument/2006/relationships/hyperlink" Id="rId7"/>
    <Relationship TargetMode="External" Target="https://www.legis.iowa.gov/docs/ico/chapter/809A.17.pdf" Type="http://schemas.openxmlformats.org/officeDocument/2006/relationships/hyperlink" Id="rId8"/>
    <Relationship TargetMode="External" Target="https://www.legis.iowa.gov/docs/iac/rule/661.95.4.pdf" Type="http://schemas.openxmlformats.org/officeDocument/2006/relationships/hyperlink" Id="rId9"/>
    <Relationship TargetMode="External" Target="https://www.legis.iowa.gov/docs/ico/chapter/809A.17.pdf" Type="http://schemas.openxmlformats.org/officeDocument/2006/relationships/hyperlink" Id="rId10"/>
    <Relationship TargetMode="External" Target="https://www.legis.iowa.gov/docs/iac/rule/661.95.4.pdf" Type="http://schemas.openxmlformats.org/officeDocument/2006/relationships/hyperlink" Id="rId11"/>
    <Relationship TargetMode="External" Target="https://www.legis.iowa.gov/docs/iac/rule/661.95.5.pdf" Type="http://schemas.openxmlformats.org/officeDocument/2006/relationships/hyperlink" Id="rId12"/>
    <Relationship TargetMode="External" Target="https://www.legis.iowa.gov/docs/iac/rule/661.95.4.pdf" Type="http://schemas.openxmlformats.org/officeDocument/2006/relationships/hyperlink" Id="rId13"/>
    <Relationship TargetMode="External" Target="https://www.legis.iowa.gov/docs/ico/chapter/809A.17.pdf" Type="http://schemas.openxmlformats.org/officeDocument/2006/relationships/hyperlink" Id="rId14"/>
    <Relationship TargetMode="External" Target="https://www.legis.iowa.gov/docs/iac/rule/661.95.5.pdf" Type="http://schemas.openxmlformats.org/officeDocument/2006/relationships/hyperlink" Id="rId15"/>
    <Relationship TargetMode="External" Target="https://www.legis.iowa.gov/docs/iac/rule/661.95.6.pdf" Type="http://schemas.openxmlformats.org/officeDocument/2006/relationships/hyperlink" Id="rId16"/>
    <Relationship TargetMode="External" Target="https://www.legis.iowa.gov/docs/ico/chapter/809A.17.pdf" Type="http://schemas.openxmlformats.org/officeDocument/2006/relationships/hyperlink" Id="rId17"/>
    <Relationship TargetMode="External" Target="https://www.legis.iowa.gov/docs/iac/rule/661.95.2.pdf" Type="http://schemas.openxmlformats.org/officeDocument/2006/relationships/hyperlink" Id="rId18"/>
    <Relationship TargetMode="External" Target="https://www.legis.iowa.gov/docs/iac/rule/661.95.7.pdf" Type="http://schemas.openxmlformats.org/officeDocument/2006/relationships/hyperlink" Id="rId19"/>
    <Relationship TargetMode="External" Target="https://www.legis.iowa.gov/docs/ico/chapter/809.21.pdf" Type="http://schemas.openxmlformats.org/officeDocument/2006/relationships/hyperlink" Id="rId20"/>
    <Relationship TargetMode="External" Target="https://www.legis.iowa.gov/docs/ico/chapter/809A.17.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