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91</w:t>
      </w:r>
    </w:p>
    <w:p>
      <w:pPr>
        <w:spacing w:before="0" w:after="0"/>
        <w:ind w:left="120"/>
        <w:jc w:val="center"/>
      </w:pPr>
      <w:r>
        <w:rPr>
          <w:rFonts w:ascii="Times New Roman" w:hAnsi="Times New Roman"/>
          <w:b w:val="false"/>
          <w:i w:val="false"/>
          <w:color w:val="000000"/>
          <w:sz w:val="21"/>
        </w:rPr>
        <w:t>WEAPONS AND IOWA PROFESSIONAL PERMITS TO CARRY WEAPONS</w:t>
      </w:r>
    </w:p>
    <w:p>
      <w:pPr>
        <w:spacing w:before="0" w:after="0"/>
        <w:ind w:left="120"/>
        <w:jc w:val="center"/>
      </w:pPr>
      <w:r>
        <w:rPr>
          <w:rFonts w:ascii="Times New Roman" w:hAnsi="Times New Roman"/>
          <w:b w:val="false"/>
          <w:i w:val="false"/>
          <w:color w:val="000000"/>
          <w:sz w:val="14"/>
        </w:rPr>
        <w:t>[Prior to 5/9/07, see rules 661—4.1(724) to 661—4.12(17A,724)]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661—91.1</w:t>
      </w:r>
      <w:r>
        <w:rPr>
          <w:rFonts w:ascii="Times New Roman" w:hAnsi="Times New Roman"/>
          <w:b/>
          <w:i w:val="false"/>
          <w:color w:val="000000"/>
          <w:sz w:val="22"/>
        </w:rPr>
        <w:t xml:space="preserve">(724)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rules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“Addicted to the use of alcohol” </w:t>
      </w:r>
      <w:r>
        <w:rPr>
          <w:rFonts w:ascii="Times New Roman" w:hAnsi="Times New Roman"/>
          <w:b w:val="false"/>
          <w:i w:val="false"/>
          <w:color w:val="000000"/>
          <w:sz w:val="22"/>
        </w:rPr>
        <w:t>means physiological or psychological dependence on the continued use of alcohol, or a maladaptive pattern of alcohol use leading to significant occupational, educational, familial, social, legal, or health-related problems.</w:t>
      </w:r>
    </w:p>
    <w:p>
      <w:pPr>
        <w:spacing w:before="0" w:after="0"/>
        <w:ind w:left="120"/>
        <w:jc w:val="both"/>
      </w:pPr>
      <w:r>
        <w:rPr>
          <w:rFonts w:ascii="Times New Roman" w:hAnsi="Times New Roman"/>
          <w:b w:val="false"/>
          <w:i w:val="false"/>
          <w:color w:val="000000"/>
          <w:sz w:val="22"/>
        </w:rPr>
        <w:t>Alcohol addiction does not mean nonpathological alcohol use, such as social drinking or occasional or periodic intoxication not accompanied by disruption in social and family relationships, vocational or financial difficulties, or legal problems. Alcohol addiction also does not mean alcohol dependence with sustained full remission, as evidenced by a period of at least 12 months without instances or indicators of alcohol dependence or alcohol abuse. One or more instances of alcohol intoxication alone shall not constitute alcohol addiction, unless accompanied by alcohol dependence or a maladaptive pattern of alcohol use leading to significant occupational, educational, familial, social, legal, or health-related problems.</w:t>
      </w:r>
    </w:p>
    <w:p>
      <w:pPr>
        <w:spacing w:before="0" w:after="0"/>
        <w:ind w:left="120"/>
        <w:jc w:val="both"/>
      </w:pPr>
      <w:r>
        <w:rPr>
          <w:rFonts w:ascii="Times New Roman" w:hAnsi="Times New Roman"/>
          <w:b w:val="false"/>
          <w:i w:val="false"/>
          <w:color w:val="000000"/>
          <w:sz w:val="22"/>
        </w:rPr>
        <w:t xml:space="preserve">Any of the following shall create a presumption that a person is addicted to the use of alcohol: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Affirmation by the person that the person is addicted to the use of alcohol and has not achieved sustained full remission;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Treatment for alcohol dependence, abuse, or addiction within the last 12 months, not including follow-up treatment or attendance at support groups during a period of sustained full remission;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diagnosis of alcohol dependence or alcohol abuse from a properly licensed medical or psychological professional in the past 12 months;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Two or more arrests, at least one of which resulted in a conviction, for unlawful use or possession of alcohol or other criminal act committed while under the influence of alcohol in the past 12 months;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Three or more arrests, at least one of which resulted in a conviction, for unlawful use or possession of alcohol or other criminal act committed while under the influence of alcohol in the past five years if the most recent arrest occurred in the past 12 months;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Disciplinary action taken by any employer or organization for prohibited use or possession of alcohol in the past 12 months;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Failure to successfully complete alcohol rehabilitation or treatment in the past 12 months;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One or more instances of founded child or dependent adult abuse related to alcohol use in the past five years;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 test of the person’s breath, blood, urine, or other bodily fluid which indicates that the person has engaged in unlawful acts involving alcohol, provided that the test was administered within the past 12 months; or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Documented reports or information from at least two credible sources that evidence a pattern of conduct indicating that the person is currently addicted to the use of alcohol as defined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“Adjudicated as a mental defective” </w:t>
      </w:r>
      <w:r>
        <w:rPr>
          <w:rFonts w:ascii="Times New Roman" w:hAnsi="Times New Roman"/>
          <w:b w:val="false"/>
          <w:i w:val="false"/>
          <w:color w:val="000000"/>
          <w:sz w:val="22"/>
        </w:rPr>
        <w:t>means a determination by a court, board, commission, or other lawful authority that a person, as a result of marked subnormal intelligence, or mental illness, incompetency, condition, or disease: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a danger to the person’s self or to others;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Lacks the mental capacity to contract or manage the person’s own affairs.</w:t>
      </w:r>
    </w:p>
    <w:p>
      <w:pPr>
        <w:spacing w:before="0" w:after="0"/>
        <w:ind w:left="120"/>
        <w:jc w:val="both"/>
      </w:pPr>
      <w:r>
        <w:rPr>
          <w:rFonts w:ascii="Times New Roman" w:hAnsi="Times New Roman"/>
          <w:b w:val="false"/>
          <w:i w:val="false"/>
          <w:color w:val="000000"/>
          <w:sz w:val="22"/>
        </w:rPr>
        <w:t>The term shall include: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finding of insanity by a court in a criminal case;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Those persons found incompetent to stand trial or found not guilty by reason of lack of mental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“Annual” </w:t>
      </w:r>
      <w:r>
        <w:rPr>
          <w:rFonts w:ascii="Times New Roman" w:hAnsi="Times New Roman"/>
          <w:b w:val="false"/>
          <w:i w:val="false"/>
          <w:color w:val="000000"/>
          <w:sz w:val="22"/>
        </w:rPr>
        <w:t>means once per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person who is applying for a permit to carry weapons.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educator professional permit training” </w:t>
      </w:r>
      <w:r>
        <w:rPr>
          <w:rFonts w:ascii="Times New Roman" w:hAnsi="Times New Roman"/>
          <w:b w:val="false"/>
          <w:i w:val="false"/>
          <w:color w:val="000000"/>
          <w:sz w:val="22"/>
        </w:rPr>
        <w:t>means any training that has satisfied the requirements to provide educational-setting training in Iowa for the purpose of obtaining an Iowa educator professional permit and has been approved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training organization” </w:t>
      </w:r>
      <w:r>
        <w:rPr>
          <w:rFonts w:ascii="Times New Roman" w:hAnsi="Times New Roman"/>
          <w:b w:val="false"/>
          <w:i w:val="false"/>
          <w:color w:val="000000"/>
          <w:sz w:val="22"/>
        </w:rPr>
        <w:t>means any firearm training organization that has satisfied the requirements to certify handgun safety training instructors eligible to offer handgun safety training in Iowa for the purpose of obtaining an Iowa permit to carry weapons and has been approved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“Background check” </w:t>
      </w:r>
      <w:r>
        <w:rPr>
          <w:rFonts w:ascii="Times New Roman" w:hAnsi="Times New Roman"/>
          <w:b w:val="false"/>
          <w:i w:val="false"/>
          <w:color w:val="000000"/>
          <w:sz w:val="22"/>
        </w:rPr>
        <w:t>means an inquiry through the IOWA system to NICS, the IOWA and the National Crime Information Center (NCIC) systems person files and the driver’s license file of the applicant as well as other available sources of information to be used to determine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commissioner of the Iowa department of public safety or, as applicable, the commissioner’s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“Committed to a mental institution” </w:t>
      </w:r>
      <w:r>
        <w:rPr>
          <w:rFonts w:ascii="Times New Roman" w:hAnsi="Times New Roman"/>
          <w:b w:val="false"/>
          <w:i w:val="false"/>
          <w:color w:val="000000"/>
          <w:sz w:val="22"/>
        </w:rPr>
        <w:t>means a formal commitment of a person to a mental institution by a court, board, commission, or other lawful authority. The term includes a commitment to a mental institution involuntarily either as an inpatient or outpatient. The term includes commitment for mental defectiveness or mental illness. It also includes commitments for other reasons, such as for drug or alcohol abuse. The term does not include admission to a mental institution for observation or a voluntary admission to a mental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“Crime punishable by imprisonment for a term exceeding one year” </w:t>
      </w:r>
      <w:r>
        <w:rPr>
          <w:rFonts w:ascii="Times New Roman" w:hAnsi="Times New Roman"/>
          <w:b w:val="false"/>
          <w:i w:val="false"/>
          <w:color w:val="000000"/>
          <w:sz w:val="22"/>
        </w:rPr>
        <w:t>means any federal or state offense for which the maximum penalty, whether or not imposed, is capital punishment or imprisonment in excess of one year. The term shall not include any federal or state offenses pertaining to antitrust violations, unfair trade practices, restraints of trade, or other similar offenses relating to the regulation of business practices or any state offense classified by the laws of the state as a misdemeanor and punishable by a term of imprisonment of two years or less. What constitutes a conviction of such a crime shall be determined in accordance with the law of the jurisdiction in which the proceedings were held. Any conviction which has been expunged or set aside or for which a person has been pardoned or has had civil rights restored shall not be considered a conviction unless such pardon, expunction, or restoration of civil rights expressly provides that the person may not ship, transport, possess, or receive firearms, or unless the person is prohibited by the law of the jurisdiction in which the proceedings were held from receiving or possessing any firearms.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“Educator professional permit” </w:t>
      </w:r>
      <w:r>
        <w:rPr>
          <w:rFonts w:ascii="Times New Roman" w:hAnsi="Times New Roman"/>
          <w:b w:val="false"/>
          <w:i w:val="false"/>
          <w:color w:val="000000"/>
          <w:sz w:val="22"/>
        </w:rPr>
        <w:t xml:space="preserve">means a permit issued to a school employee pursuant to Iowa Code section </w:t>
      </w:r>
      <w:hyperlink r:id="rId5">
        <w:r>
          <w:rPr>
            <w:rStyle w:val="Hyperlink"/>
            <w:rFonts w:ascii="Times New Roman" w:hAnsi="Times New Roman"/>
            <w:b w:val="false"/>
            <w:i w:val="false"/>
            <w:color w:val="000000"/>
            <w:sz w:val="22"/>
          </w:rPr>
          <w:t>724.6(1)</w:t>
        </w:r>
      </w:hyperlink>
      <w:r>
        <w:rPr>
          <w:rFonts w:ascii="Times New Roman" w:hAnsi="Times New Roman"/>
          <w:b w:val="false"/>
          <w:i/>
          <w:color w:val="000000"/>
          <w:sz w:val="22"/>
        </w:rPr>
        <w:t>“a”</w:t>
      </w:r>
      <w:r>
        <w:rPr>
          <w:rFonts w:ascii="Times New Roman" w:hAnsi="Times New Roman"/>
          <w:b w:val="false"/>
          <w:i w:val="false"/>
          <w:color w:val="000000"/>
          <w:sz w:val="22"/>
        </w:rPr>
        <w:t xml:space="preserve">(3) as enacted by </w:t>
      </w:r>
      <w:r>
        <w:rPr>
          <w:rFonts w:ascii="Times New Roman" w:hAnsi="Times New Roman"/>
          <w:b w:val="false"/>
          <w:i w:val="false"/>
          <w:color w:val="000000"/>
          <w:sz w:val="22"/>
        </w:rPr>
        <w:t>2024 Iowa Acts, House File 2586</w:t>
      </w:r>
      <w:r>
        <w:rPr>
          <w:rFonts w:ascii="Times New Roman" w:hAnsi="Times New Roman"/>
          <w:b w:val="false"/>
          <w:i w:val="false"/>
          <w:color w:val="000000"/>
          <w:sz w:val="22"/>
        </w:rPr>
        <w:t xml:space="preserve">, and as amended by </w:t>
      </w:r>
      <w:r>
        <w:rPr>
          <w:rFonts w:ascii="Times New Roman" w:hAnsi="Times New Roman"/>
          <w:b w:val="false"/>
          <w:i w:val="false"/>
          <w:color w:val="000000"/>
          <w:sz w:val="22"/>
        </w:rPr>
        <w:t>2024 Iowa Acts, House File 2652</w:t>
      </w:r>
      <w:r>
        <w:rPr>
          <w:rFonts w:ascii="Times New Roman" w:hAnsi="Times New Roman"/>
          <w:b w:val="false"/>
          <w:i w:val="false"/>
          <w:color w:val="000000"/>
          <w:sz w:val="22"/>
        </w:rPr>
        <w:t>, to allow for the concealed carry of a firearm. The permit holder’s employer maintains the final authority to determine whether the permit holder may carry a firearm on the employer’s grounds. Such a permit is only valid while the permit holder is engaged in the employment stated on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“Felony” </w:t>
      </w:r>
      <w:r>
        <w:rPr>
          <w:rFonts w:ascii="Times New Roman" w:hAnsi="Times New Roman"/>
          <w:b w:val="false"/>
          <w:i w:val="false"/>
          <w:color w:val="000000"/>
          <w:sz w:val="22"/>
        </w:rPr>
        <w:t>means any crime punishable by imprisonment for a term exceeding one year as defined in this rule or any crime involving a firearm or explosive that is punishable by imprisonment for a term exceeding one year and is classified as a misdemeanor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“Firearm training documentation for professional permit” </w:t>
      </w:r>
      <w:r>
        <w:rPr>
          <w:rFonts w:ascii="Times New Roman" w:hAnsi="Times New Roman"/>
          <w:b w:val="false"/>
          <w:i w:val="false"/>
          <w:color w:val="000000"/>
          <w:sz w:val="22"/>
        </w:rPr>
        <w:t xml:space="preserve">means a photocopy of a certificate of completion or any similar document indicating completion of any firearm training program course; an affidavit from the instructor, school, organization or group that conducted or taught a firearm training program; a copy of or the display of an honorable discharge or general discharge under honorable conditions or Form DD-214 for personnel released or retired from active duty with the armed forces of the United States; or possession of a certificate of completion of basic training with a service record of successful completion of small arms training and qualification for active duty personnel in the armed forces of the United States.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“Firearm training program” </w:t>
      </w:r>
      <w:r>
        <w:rPr>
          <w:rFonts w:ascii="Times New Roman" w:hAnsi="Times New Roman"/>
          <w:b w:val="false"/>
          <w:i w:val="false"/>
          <w:color w:val="000000"/>
          <w:sz w:val="22"/>
        </w:rPr>
        <w:t xml:space="preserve">means any National Rifle Association handgun safety training course; any handgun safety training course available to the general public utilizing instructors certified by the National Rifle Association, an organization approved by the Iowa department of public safety pursuant to Iowa Code section </w:t>
      </w:r>
      <w:hyperlink r:id="rId6">
        <w:r>
          <w:rPr>
            <w:rStyle w:val="Hyperlink"/>
            <w:rFonts w:ascii="Times New Roman" w:hAnsi="Times New Roman"/>
            <w:b w:val="false"/>
            <w:i w:val="false"/>
            <w:color w:val="000000"/>
            <w:sz w:val="22"/>
          </w:rPr>
          <w:t>724.9A</w:t>
        </w:r>
      </w:hyperlink>
      <w:r>
        <w:rPr>
          <w:rFonts w:ascii="Times New Roman" w:hAnsi="Times New Roman"/>
          <w:b w:val="false"/>
          <w:i w:val="false"/>
          <w:color w:val="000000"/>
          <w:sz w:val="22"/>
        </w:rPr>
        <w:t xml:space="preserve"> or the Iowa law enforcement academy or another state’s department of public safety, state police department, or similar certifying body; any handgun safety training course offered for security guards, investigators, special deputies, or any division or subdivision of a law enforcement or security enforcement agency approved by the Iowa department of public safety; or completion of small arms training while serving with the armed forces of the United States. Any person or entity seeking approval by the Iowa department of public safety for a handgun safety training course offered for security guards, investigators, special deputies, or any division or subdivision of a law enforcement or security enforcement agency, other than those certified by the National Rifle Association, the Iowa department of public safety, or the Iowa law enforcement academy or courses conducted by instructors certified by the National Rifle Association or the Iowa law enforcement academy, shall submit a detailed description of the course content to the commissioner for review. Any handgun safety training course submitted for review shall be reviewed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“Identification documentation for an Iowa resident” </w:t>
      </w:r>
      <w:r>
        <w:rPr>
          <w:rFonts w:ascii="Times New Roman" w:hAnsi="Times New Roman"/>
          <w:b w:val="false"/>
          <w:i w:val="false"/>
          <w:color w:val="000000"/>
          <w:sz w:val="22"/>
        </w:rPr>
        <w:t>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driver’s license or nonoperator identification card that contains a photograph of the person and that has been issued by the Iowa department of transportation;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motor vehicle license or nonoperator identification card that contains a photograph of the person and that has been issued by a state other than Iowa and at least one current document indicating Iowa residency, including a residential lease agreement, utility bill, voter registration, tuition receipt for a college or university in Iowa, or other documentation that is acceptable to the officer issuing the permit and that indicates the intent of the person’s presence in Iowa is something other than merely transitory in nature;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document which contains the name, place of residence, date of birth and photograph of the holder issued by or under the authority of the United States, a state or a political subdivision of a state and which is of a type intended or commonly accepted for the purpose of identification of individuals and at least one current document indicating Iowa residency, including a residential lease agreement, utility bill, voter registration, tuition receipt for a college or university in Iowa, or other documentation that is acceptable to the officer issuing the permit and that indicates the intent of the person’s presence in Iowa is something other than merely transitory in nature;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motor vehicle license or nonoperator identification card that contains a photograph of the person and that has been issued by a state other than Iowa and a document indicating that the person is a member of the United States armed forces on active duty and whose permanent duty station is located in Iowa;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driver’s license or nonoperator identification card that contains a photograph of the person and that has been issued by the Iowa department of transportation and an immigration document containing the alien registration number (ARN) of a permanent resident alien or nonimmigrant alien and documentation indicating that the person has resided in the state for at least 90 consecutive days prior to the person’s making application. A nonimmigrant alien shall also be required to display a valid hunting license issued in any state, meet the requirements of an exception pursuant to 18 U.S.C. § 922(y)(2), or display a waiver granted by the United States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“Identification documentation for a nonresident” </w:t>
      </w:r>
      <w:r>
        <w:rPr>
          <w:rFonts w:ascii="Times New Roman" w:hAnsi="Times New Roman"/>
          <w:b w:val="false"/>
          <w:i w:val="false"/>
          <w:color w:val="000000"/>
          <w:sz w:val="22"/>
        </w:rPr>
        <w:t>means a motor vehicle license or nonoperator identification card which has been issued by a state other than Iowa and which contains a photograph of the person to whom it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“Initial familiarization firearm and course of fire training” </w:t>
      </w:r>
      <w:r>
        <w:rPr>
          <w:rFonts w:ascii="Times New Roman" w:hAnsi="Times New Roman"/>
          <w:b w:val="false"/>
          <w:i w:val="false"/>
          <w:color w:val="000000"/>
          <w:sz w:val="22"/>
        </w:rPr>
        <w:t>means a training course of fire with a handgun, which is intended to familiarize, exercise, and improve a person’s judgment, reaction, and firearms proficiency under stress when various conditions are present. A variety of scenarios and exercises may be utilized during familiarization course exercises.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system” </w:t>
      </w:r>
      <w:r>
        <w:rPr>
          <w:rFonts w:ascii="Times New Roman" w:hAnsi="Times New Roman"/>
          <w:b w:val="false"/>
          <w:i w:val="false"/>
          <w:color w:val="000000"/>
          <w:sz w:val="22"/>
        </w:rPr>
        <w:t>means the Iowa on-line warrants and articles criminal justice information system operated by the Iowa department of public safety for use by law enforcement and criminal justice agencies in the exchange of criminal history and other criminal justice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“Misdemeanor crime of domestic violence” </w:t>
      </w:r>
      <w:r>
        <w:rPr>
          <w:rFonts w:ascii="Times New Roman" w:hAnsi="Times New Roman"/>
          <w:b w:val="false"/>
          <w:i w:val="false"/>
          <w:color w:val="000000"/>
          <w:sz w:val="22"/>
        </w:rPr>
        <w:t>means an offense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a misdemeanor under federal or state law;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Has, as an element, the use or attempted use of physical force, or the threatened use of a deadly weapon, committed by a current or former spouse, parent, or guardian of the victim, by a person with whom the victim shares a child in common, by a person who is cohabiting with or has cohabited with the victim as a spouse, parent, or guardian, or by a person similarly situated to a spouse, parent, or guardian of the victim.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application” </w:t>
      </w:r>
      <w:r>
        <w:rPr>
          <w:rFonts w:ascii="Times New Roman" w:hAnsi="Times New Roman"/>
          <w:b w:val="false"/>
          <w:i w:val="false"/>
          <w:color w:val="000000"/>
          <w:sz w:val="22"/>
        </w:rPr>
        <w:t>means an application for an Iowa professional permit to carry weapons or an educator professional permit that is filed when the applicant does not currently hold an Iowa permit to carry weapons or an educator professional permit or when the applicant does not file the application at least 30 days prior to the expiration of a currently held Iowa permit to carry weapons.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“NICS” </w:t>
      </w:r>
      <w:r>
        <w:rPr>
          <w:rFonts w:ascii="Times New Roman" w:hAnsi="Times New Roman"/>
          <w:b w:val="false"/>
          <w:i w:val="false"/>
          <w:color w:val="000000"/>
          <w:sz w:val="22"/>
        </w:rPr>
        <w:t>means the National Instant Criminal Background Check System established by the United States Attorney General pursuant to United States Code 18 U.S.C. § 922(t).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“Professional permit to carry weapons” </w:t>
      </w:r>
      <w:r>
        <w:rPr>
          <w:rFonts w:ascii="Times New Roman" w:hAnsi="Times New Roman"/>
          <w:b w:val="false"/>
          <w:i w:val="false"/>
          <w:color w:val="000000"/>
          <w:sz w:val="22"/>
        </w:rPr>
        <w:t xml:space="preserve">means a permit to carry weapons issued to a person whose employment in a private investigation business or private security business licensed under Iowa Code chapter </w:t>
      </w:r>
      <w:hyperlink r:id="rId7">
        <w:r>
          <w:rPr>
            <w:rStyle w:val="Hyperlink"/>
            <w:rFonts w:ascii="Times New Roman" w:hAnsi="Times New Roman"/>
            <w:b w:val="false"/>
            <w:i w:val="false"/>
            <w:color w:val="000000"/>
            <w:sz w:val="22"/>
          </w:rPr>
          <w:t>80A</w:t>
        </w:r>
      </w:hyperlink>
      <w:r>
        <w:rPr>
          <w:rFonts w:ascii="Times New Roman" w:hAnsi="Times New Roman"/>
          <w:b w:val="false"/>
          <w:i w:val="false"/>
          <w:color w:val="000000"/>
          <w:sz w:val="22"/>
        </w:rPr>
        <w:t>, or whose employment as a peace officer, correctional officer with the Iowa department of corrections, private security officer, bank messenger or other person transporting property of a value requiring security, or whose employment in police work reasonably justifies that person’s going armed. Property of value includes large quantities of cash transported in an armored car, negotiable instruments, gems, other high-value items transported by couriers, and other high-value property that may be vulnerable. Such a permit is valid only while the permitted person is engaged in the employment stated on the permit and while the person is traveling to and from that employment. A professional permit to carry weapons does not include an educator professional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“Qualification course of fire” </w:t>
      </w:r>
      <w:r>
        <w:rPr>
          <w:rFonts w:ascii="Times New Roman" w:hAnsi="Times New Roman"/>
          <w:b w:val="false"/>
          <w:i w:val="false"/>
          <w:color w:val="000000"/>
          <w:sz w:val="22"/>
        </w:rPr>
        <w:t>means a specifically designated course of fire with the firearm the person will carry in the person’s capacity as an educator professional permit holder that measures and documents the firearms proficiency level of the person. A pre-established qualifying score determines the proficiency that impacts the educator professional permit holder’s authorization to carry the firearm in the course of the person’s duties as an educator professional permit holder. The qualification course of fire standards are the standards adopted by the Iowa law enforcement academy for certified law enforcement in-service handgun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on a firing range for professional permits to carry weapons” </w:t>
      </w:r>
      <w:r>
        <w:rPr>
          <w:rFonts w:ascii="Times New Roman" w:hAnsi="Times New Roman"/>
          <w:b w:val="false"/>
          <w:i w:val="false"/>
          <w:color w:val="000000"/>
          <w:sz w:val="22"/>
        </w:rPr>
        <w:t>means successful completion of a course of live fire on a firing range under the supervision of an instructor certified by the National Rifle Association, the Iowa law enforcement academy, or another state’s department of public safety, state police department, or similar certifying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on a firing range for educator professional permits” </w:t>
      </w:r>
      <w:r>
        <w:rPr>
          <w:rFonts w:ascii="Times New Roman" w:hAnsi="Times New Roman"/>
          <w:b w:val="false"/>
          <w:i w:val="false"/>
          <w:color w:val="000000"/>
          <w:sz w:val="22"/>
        </w:rPr>
        <w:t>means successful completion of an approved initial familiarization firearm and course of fire training and subsequent quarterly requirements of live fire on a firing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“Quarterly” </w:t>
      </w:r>
      <w:r>
        <w:rPr>
          <w:rFonts w:ascii="Times New Roman" w:hAnsi="Times New Roman"/>
          <w:b w:val="false"/>
          <w:i w:val="false"/>
          <w:color w:val="000000"/>
          <w:sz w:val="22"/>
        </w:rPr>
        <w:t>means a period of three calendar months ending on March 31, June 30, September 30, or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w:t>
      </w:r>
      <w:r>
        <w:rPr>
          <w:rFonts w:ascii="Times New Roman" w:hAnsi="Times New Roman"/>
          <w:b w:val="false"/>
          <w:i w:val="false"/>
          <w:color w:val="000000"/>
          <w:sz w:val="22"/>
        </w:rPr>
        <w:t>means an application for an Iowa professional permit to carry weapons filed at least 30 days prior to the expiration of a currently held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employee” </w:t>
      </w:r>
      <w:r>
        <w:rPr>
          <w:rFonts w:ascii="Times New Roman" w:hAnsi="Times New Roman"/>
          <w:b w:val="false"/>
          <w:i w:val="false"/>
          <w:color w:val="000000"/>
          <w:sz w:val="22"/>
        </w:rPr>
        <w:t xml:space="preserve">means a person whose need to go armed arises out of employment by the state of Iowa. “State employee” includes a railroad special agent as described in Iowa Code chapter </w:t>
      </w:r>
      <w:hyperlink r:id="rId8">
        <w:r>
          <w:rPr>
            <w:rStyle w:val="Hyperlink"/>
            <w:rFonts w:ascii="Times New Roman" w:hAnsi="Times New Roman"/>
            <w:b w:val="false"/>
            <w:i w:val="false"/>
            <w:color w:val="000000"/>
            <w:sz w:val="22"/>
          </w:rPr>
          <w:t>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“Unlawful user of or addicted to any controlled substance” </w:t>
      </w:r>
      <w:r>
        <w:rPr>
          <w:rFonts w:ascii="Times New Roman" w:hAnsi="Times New Roman"/>
          <w:b w:val="false"/>
          <w:i w:val="false"/>
          <w:color w:val="000000"/>
          <w:sz w:val="22"/>
        </w:rPr>
        <w:t>means a person who uses a controlled substance and has lost the power of self-control with reference to the use of the controlled substance or any person who is a current user of a controlled substance in a manner other than as prescribed by a licensed physician. Such use is not limited to the use of drugs on a particular day, or within a matter of days or weeks before, but rather that the unlawful use has occurred recently enough to indicate that the individual is actively engaged in such conduct. A person may be an unlawful current user of a controlled substance even though the substance is not being used at the precise time the person applies for an Iowa permit to carry weapons or seeks to acquire a firearm or receives or possesses a firearm. An inference of current use may be drawn from evidence of a recent use or possession of a controlled substance or a pattern of use or possession that reasonably covers the present time, e.g., a conviction for use or possession of a controlled substance within the past year; multiple arrests for such offenses within the past five years if the most recent arrest occurred within the past year; or persons found through a drug test to use a controlled substance unlawfully, provided that the test was administered within the past year. For a current or former member of the armed forces, an inference of current use may be drawn from recent disciplinary or other administrative action based on confirmed drug use, e.g., court-martial conviction, nonjudicial punishment, or an administrative discharge based on drug use or drug rehabilitation failure.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9238B</w:t>
      </w:r>
      <w:r>
        <w:rPr>
          <w:rFonts w:ascii="Times New Roman" w:hAnsi="Times New Roman"/>
          <w:b w:val="false"/>
          <w:i w:val="false"/>
          <w:color w:val="000000"/>
          <w:sz w:val="16"/>
        </w:rPr>
        <w:t>, IAB 11/17/10,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5974C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 xml:space="preserve">; </w:t>
      </w:r>
      <w:r>
        <w:rPr>
          <w:rFonts w:ascii="Times New Roman" w:hAnsi="Times New Roman"/>
          <w:b/>
          <w:i w:val="false"/>
          <w:color w:val="000000"/>
          <w:sz w:val="16"/>
        </w:rPr>
        <w:t>ARC 8226C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661—91.2</w:t>
      </w:r>
      <w:r>
        <w:rPr>
          <w:rFonts w:ascii="Times New Roman" w:hAnsi="Times New Roman"/>
          <w:b/>
          <w:i w:val="false"/>
          <w:color w:val="000000"/>
          <w:sz w:val="22"/>
        </w:rPr>
        <w:t xml:space="preserve">(724) </w:t>
      </w:r>
      <w:r>
        <w:rPr>
          <w:rFonts w:ascii="Times New Roman" w:hAnsi="Times New Roman"/>
          <w:b/>
          <w:i w:val="false"/>
          <w:color w:val="000000"/>
          <w:sz w:val="22"/>
        </w:rPr>
        <w:t xml:space="preserve">Forms. </w:t>
      </w:r>
      <w:r>
        <w:rPr>
          <w:rFonts w:ascii="Times New Roman" w:hAnsi="Times New Roman"/>
          <w:b w:val="false"/>
          <w:i w:val="false"/>
          <w:color w:val="000000"/>
          <w:sz w:val="22"/>
        </w:rPr>
        <w:t>The following forms, the use of which is required by provisions of this chapter, are provided by the commissioner to Iowa sheriffs: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Form WP1. Professional Permit to Carry Weapons.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Form WP2. Nonprofessional Permit to Carry Weapons.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Form WP3. Application for Annual Permit to Acquire Pistols or Revolvers.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Form WP4. Annual Permit to Acquire Pistols or Revolvers.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Form WP5. Application for Permit to Carry Weapons.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Form WP6. Revocation/Cancellation of Permit to Carry/Permit to Acquire Weapons.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Form WP7. Certified Peace Officer Permit to Carry Weapons.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Form WP8. Reserve Peace Officer Permit to Carry Weapons.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Form WP9. Authorization for Wallet-Size Permit to Carry Weapons, to be generated by the issuing officer including the type of permit, and, at a minimum, the individual identifiers of name and date of birth. A professional permit to carry weapons shall state the nature of employment requiring the holder to go armed.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Form WP10. Authorization for Wallet-Size Annual Permit to Acquire Pistols or Revolvers, to be generated by the issuing officer including the type of permit, and, at a minimum, the individual identifiers of name and date of birth, the residence of the permittee, and the effective date of the permit.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Form WP11. Nonprofessional Permit to Carry Weapons (issued to an Iowa resident who is serving on active duty in any branch of the United States military and whose permanent duty station is located in a state other than Iowa).</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Form WP12. Educator Professional Permit.</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Form WP13. Application for Educator Professional Permit.</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Form WP14. Notification of Completion of Required Quarterly Training Recruitments for Educator Professional Permit.</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Form WP15. Application for Approval of Educator Professional Permit Curriculum.</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Form WP16. Handgun Marksmanship Training Drills.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9238B</w:t>
      </w:r>
      <w:r>
        <w:rPr>
          <w:rFonts w:ascii="Times New Roman" w:hAnsi="Times New Roman"/>
          <w:b w:val="false"/>
          <w:i w:val="false"/>
          <w:color w:val="000000"/>
          <w:sz w:val="16"/>
        </w:rPr>
        <w:t>, IAB 11/17/10,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8226C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661—91.3</w:t>
      </w:r>
      <w:r>
        <w:rPr>
          <w:rFonts w:ascii="Times New Roman" w:hAnsi="Times New Roman"/>
          <w:b/>
          <w:i w:val="false"/>
          <w:color w:val="000000"/>
          <w:sz w:val="22"/>
        </w:rPr>
        <w:t xml:space="preserve">(724) </w:t>
      </w:r>
      <w:r>
        <w:rPr>
          <w:rFonts w:ascii="Times New Roman" w:hAnsi="Times New Roman"/>
          <w:b/>
          <w:i w:val="false"/>
          <w:color w:val="000000"/>
          <w:sz w:val="22"/>
        </w:rPr>
        <w:t xml:space="preserve">Federal and state prohibitions—permit to carry weapons.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91.3(1)</w:t>
      </w:r>
      <w:r>
        <w:rPr>
          <w:rFonts w:ascii="Times New Roman" w:hAnsi="Times New Roman"/>
          <w:b w:val="false"/>
          <w:i w:val="false"/>
          <w:color w:val="000000"/>
          <w:sz w:val="22"/>
        </w:rPr>
        <w:t> </w:t>
      </w:r>
      <w:r>
        <w:rPr>
          <w:rFonts w:ascii="Times New Roman" w:hAnsi="Times New Roman"/>
          <w:b w:val="false"/>
          <w:i w:val="false"/>
          <w:color w:val="000000"/>
          <w:sz w:val="22"/>
        </w:rPr>
        <w:t>United States Code 18 U.S.C. § 922(g) prohibits the possession of any firearm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Who has been convicted in any court of a crime punishable by imprisonment for a term exceeding one year;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Who is a fugitive from justice;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Who is an unlawful user of or addicted to any controlled substance;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Who has been adjudicated as a mental defective or who has been committed to a mental institution;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Who, being an alien, is illegally or unlawfully in the United States. Persons lawfully admitted to the United States as immigrant or nonimmigrant aliens must have resided in Iowa for at least 90 continuous days before becoming eligible for an Iowa permit to carry weapons. Additionally, nonimmigrant aliens must display a current valid hunting license issued in any state, meet the requirements of an exception pursuant to 18 U.S.C. § 922(y)(2), or display a waiver granted by the United States Attorney General;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Who has been discharged from the armed forces under dishonorable conditions;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Who, having been a citizen of the United States, has renounced the person’s citizenship;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Who is subject to a court order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Was issued after a hearing for which such person received actual notice and at which such person had an opportunity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Restrains such person from harassing, stalking, or threatening an intimate partner of such person or child of such intimate partner or person or from engaging in other conduct that would place an intimate partner in reasonable fear of bodily injury to the partner or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Includes a finding that such person represents a credible threat to the physical safety of such intimate partner or child or by its terms explicitly prohibits the use, attempted use, or threatened use of physical force against such intimate partner or child that would reasonably be expected to cause bodily injury;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Who has been convicted in any court of a misdemeanor crime of domestic violence.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91.3(2)</w:t>
      </w:r>
      <w:r>
        <w:rPr>
          <w:rFonts w:ascii="Times New Roman" w:hAnsi="Times New Roman"/>
          <w:b w:val="false"/>
          <w:i w:val="false"/>
          <w:color w:val="000000"/>
          <w:sz w:val="22"/>
        </w:rPr>
        <w:t> </w:t>
      </w:r>
      <w:r>
        <w:rPr>
          <w:rFonts w:ascii="Times New Roman" w:hAnsi="Times New Roman"/>
          <w:b w:val="false"/>
          <w:i w:val="false"/>
          <w:color w:val="000000"/>
          <w:sz w:val="22"/>
        </w:rPr>
        <w:t>United States Code 18 U.S.C. § 922(n) prohibits the receiving of any firearm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Who is under indictment for a crime punishable by imprisonment for a term exceeding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91.3(3)</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9">
        <w:r>
          <w:rPr>
            <w:rStyle w:val="Hyperlink"/>
            <w:rFonts w:ascii="Times New Roman" w:hAnsi="Times New Roman"/>
            <w:b w:val="false"/>
            <w:i w:val="false"/>
            <w:color w:val="000000"/>
            <w:sz w:val="22"/>
          </w:rPr>
          <w:t>724</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2010 Iowa Acts, Senate File 2379</w:t>
      </w:r>
      <w:r>
        <w:rPr>
          <w:rFonts w:ascii="Times New Roman" w:hAnsi="Times New Roman"/>
          <w:b w:val="false"/>
          <w:i w:val="false"/>
          <w:color w:val="000000"/>
          <w:sz w:val="22"/>
        </w:rPr>
        <w:t>, prohibits the issuance of an Iowa professional permit to carry weapons to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Who is less than 18 years of age for a private security officer licensed by the Iowa department of public safety, or otherwise who is less than 21 years of age;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Who is addicted to the use of alcohol;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whom probable cause exists to believe, based upon documented specific actions of the person, where at least one of the actions occurred within two years immediately preceding the date of the permit application, that the person is likely to use a weapon unlawfully or in such other manner as would endanger the person’s self or others;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Who has been convicted of a felony in a state or federal court, or who has been adjudicated delinquent on the basis of conduct that would constitute a felony if committed by an adult;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Who is subject to a court order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Was issued after a hearing for which such person received actual notice and at which such person had an opportunity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Restrains such person from harassing, stalking, or threatening an intimate partner of such person or child of such intimate partner or person or from engaging in other conduct that would place an intimate partner in reasonable fear of bodily injury to the partner or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Includes a finding that such person represents a credible threat to the physical safety of such intimate partner or child or by its terms explicitly prohibits the use, attempted use, or threatened use of physical force against such intimate partner or child that would reasonably be expected to cause bodily injury;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Who has been convicted in any court of a misdemeanor crime of domestic violence;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Who has, within the previous three years, been convicted of any serious or aggravated misdemeanor defined in Iowa Code chapter </w:t>
      </w:r>
      <w:hyperlink r:id="rId10">
        <w:r>
          <w:rPr>
            <w:rStyle w:val="Hyperlink"/>
            <w:rFonts w:ascii="Times New Roman" w:hAnsi="Times New Roman"/>
            <w:b w:val="false"/>
            <w:i w:val="false"/>
            <w:color w:val="000000"/>
            <w:sz w:val="22"/>
          </w:rPr>
          <w:t>708</w:t>
        </w:r>
      </w:hyperlink>
      <w:r>
        <w:rPr>
          <w:rFonts w:ascii="Times New Roman" w:hAnsi="Times New Roman"/>
          <w:b w:val="false"/>
          <w:i w:val="false"/>
          <w:color w:val="000000"/>
          <w:sz w:val="22"/>
        </w:rPr>
        <w:t xml:space="preserve"> not involving the use of a firearm or explosive.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9238B</w:t>
      </w:r>
      <w:r>
        <w:rPr>
          <w:rFonts w:ascii="Times New Roman" w:hAnsi="Times New Roman"/>
          <w:b w:val="false"/>
          <w:i w:val="false"/>
          <w:color w:val="000000"/>
          <w:sz w:val="16"/>
        </w:rPr>
        <w:t>, IAB 11/17/10, effective 1/1/11</w:t>
      </w:r>
      <w:r>
        <w:rPr>
          <w:rFonts w:ascii="Times New Roman" w:hAnsi="Times New Roman"/>
          <w:b w:val="false"/>
          <w:i w:val="false"/>
          <w:color w:val="000000"/>
          <w:sz w:val="16"/>
        </w:rPr>
        <w:t xml:space="preserve"> (Editorial change: IAC Supplement 3/9/11)]</w:t>
      </w:r>
    </w:p>
    <w:p>
      <w:pPr>
        <w:spacing w:before="0" w:after="0"/>
        <w:ind w:left="120"/>
        <w:jc w:val="both"/>
      </w:pPr>
      <w:r>
        <w:rPr>
          <w:rFonts w:ascii="Times New Roman" w:hAnsi="Times New Roman"/>
          <w:b/>
          <w:i w:val="false"/>
          <w:color w:val="000000"/>
          <w:sz w:val="22"/>
        </w:rPr>
        <w:t>661—91.4</w:t>
      </w:r>
      <w:r>
        <w:rPr>
          <w:rFonts w:ascii="Times New Roman" w:hAnsi="Times New Roman"/>
          <w:b/>
          <w:i w:val="false"/>
          <w:color w:val="000000"/>
          <w:sz w:val="22"/>
        </w:rPr>
        <w:t xml:space="preserve">(724) </w:t>
      </w:r>
      <w:r>
        <w:rPr>
          <w:rFonts w:ascii="Times New Roman" w:hAnsi="Times New Roman"/>
          <w:b/>
          <w:i w:val="false"/>
          <w:color w:val="000000"/>
          <w:sz w:val="22"/>
        </w:rPr>
        <w:t xml:space="preserve">Application procedures for an Iowa professional permit to carry weapons.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91.4(1)</w:t>
      </w:r>
      <w:r>
        <w:rPr>
          <w:rFonts w:ascii="Times New Roman" w:hAnsi="Times New Roman"/>
          <w:b w:val="false"/>
          <w:i w:val="false"/>
          <w:color w:val="000000"/>
          <w:sz w:val="22"/>
        </w:rPr>
        <w:t> </w:t>
      </w:r>
      <w:r>
        <w:rPr>
          <w:rFonts w:ascii="Times New Roman" w:hAnsi="Times New Roman"/>
          <w:b w:val="false"/>
          <w:i w:val="false"/>
          <w:color w:val="000000"/>
          <w:sz w:val="22"/>
        </w:rPr>
        <w:t>A nonresident of Iowa or a state employee who is required by employment to go armed may apply to the commissioner for a professional permit to carry weapons. The applicant shall comply with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a fully and accurately completed and signed application for permit to carry weapons.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firearm training documentation for a professional permit. For a new application, training may have occurred at any time prior to the submission of the application. For a renewal application, training must have occurred within the 12-month period prior to the expiration date displayed on the applicant’s current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the required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$50 for a new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$25 for a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Display identification documentation as defined in rule </w:t>
      </w:r>
      <w:hyperlink r:id="rId11">
        <w:r>
          <w:rPr>
            <w:rStyle w:val="Hyperlink"/>
            <w:rFonts w:ascii="Times New Roman" w:hAnsi="Times New Roman"/>
            <w:b w:val="false"/>
            <w:i w:val="false"/>
            <w:color w:val="000000"/>
            <w:sz w:val="22"/>
          </w:rPr>
          <w:t>661—91.1</w:t>
        </w:r>
      </w:hyperlink>
      <w:r>
        <w:rPr>
          <w:rFonts w:ascii="Times New Roman" w:hAnsi="Times New Roman"/>
          <w:b w:val="false"/>
          <w:i w:val="false"/>
          <w:color w:val="000000"/>
          <w:sz w:val="22"/>
        </w:rPr>
        <w:t>(724) or provide a photocopy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91.4(2)</w:t>
      </w:r>
      <w:r>
        <w:rPr>
          <w:rFonts w:ascii="Times New Roman" w:hAnsi="Times New Roman"/>
          <w:b w:val="false"/>
          <w:i w:val="false"/>
          <w:color w:val="000000"/>
          <w:sz w:val="22"/>
        </w:rPr>
        <w:t> </w:t>
      </w:r>
      <w:r>
        <w:rPr>
          <w:rFonts w:ascii="Times New Roman" w:hAnsi="Times New Roman"/>
          <w:b w:val="false"/>
          <w:i w:val="false"/>
          <w:color w:val="000000"/>
          <w:sz w:val="22"/>
        </w:rPr>
        <w:t>The commissioner will return an incomplete application to the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9238B</w:t>
      </w:r>
      <w:r>
        <w:rPr>
          <w:rFonts w:ascii="Times New Roman" w:hAnsi="Times New Roman"/>
          <w:b w:val="false"/>
          <w:i w:val="false"/>
          <w:color w:val="000000"/>
          <w:sz w:val="16"/>
        </w:rPr>
        <w:t>, IAB 11/17/10,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8226C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661—91.5</w:t>
      </w:r>
      <w:r>
        <w:rPr>
          <w:rFonts w:ascii="Times New Roman" w:hAnsi="Times New Roman"/>
          <w:b/>
          <w:i w:val="false"/>
          <w:color w:val="000000"/>
          <w:sz w:val="22"/>
        </w:rPr>
        <w:t xml:space="preserve">(724) </w:t>
      </w:r>
      <w:r>
        <w:rPr>
          <w:rFonts w:ascii="Times New Roman" w:hAnsi="Times New Roman"/>
          <w:b/>
          <w:i w:val="false"/>
          <w:color w:val="000000"/>
          <w:sz w:val="22"/>
        </w:rPr>
        <w:t xml:space="preserve">Issuance or denial of application for permit to carry weapons.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completed application for a permit to carry weapons, a professional permit to carry weapons, or an educator professional permit, the commissioner shall conduct a background check to determine that issuance of a permit to the applicant is not prohibited pursuant to rule </w:t>
      </w:r>
      <w:hyperlink r:id="rId12">
        <w:r>
          <w:rPr>
            <w:rStyle w:val="Hyperlink"/>
            <w:rFonts w:ascii="Times New Roman" w:hAnsi="Times New Roman"/>
            <w:b w:val="false"/>
            <w:i w:val="false"/>
            <w:color w:val="000000"/>
            <w:sz w:val="22"/>
          </w:rPr>
          <w:t>661—91.3(724)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91.5(2)</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the commissioner shall approve or deny an application submitted pursuant to subrule </w:t>
      </w:r>
      <w:hyperlink r:id="rId13">
        <w:r>
          <w:rPr>
            <w:rStyle w:val="Hyperlink"/>
            <w:rFonts w:ascii="Times New Roman" w:hAnsi="Times New Roman"/>
            <w:b w:val="false"/>
            <w:i w:val="false"/>
            <w:color w:val="000000"/>
            <w:sz w:val="22"/>
          </w:rPr>
          <w:t>91.4(1)</w:t>
        </w:r>
      </w:hyperlink>
      <w:r>
        <w:rPr>
          <w:rFonts w:ascii="Times New Roman" w:hAnsi="Times New Roman"/>
          <w:b w:val="false"/>
          <w:i w:val="false"/>
          <w:color w:val="000000"/>
          <w:sz w:val="22"/>
        </w:rPr>
        <w:t>. The commissioner’s failure to act within 30 days of receipt of a complete application shall result in an application’s being deemed to have been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91.5(3)</w:t>
      </w:r>
      <w:r>
        <w:rPr>
          <w:rFonts w:ascii="Times New Roman" w:hAnsi="Times New Roman"/>
          <w:b w:val="false"/>
          <w:i w:val="false"/>
          <w:color w:val="000000"/>
          <w:sz w:val="22"/>
        </w:rPr>
        <w:t> </w:t>
      </w:r>
      <w:r>
        <w:rPr>
          <w:rFonts w:ascii="Times New Roman" w:hAnsi="Times New Roman"/>
          <w:b w:val="false"/>
          <w:i w:val="false"/>
          <w:color w:val="000000"/>
          <w:sz w:val="22"/>
        </w:rPr>
        <w:t>A permit issued pursuant to this chapter may be delivered, at the discretion of the applicant, to the applicant by U.S. mail or may be picked up personally by the applicant or a person designated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91.5(4)</w:t>
      </w:r>
      <w:r>
        <w:rPr>
          <w:rFonts w:ascii="Times New Roman" w:hAnsi="Times New Roman"/>
          <w:b w:val="false"/>
          <w:i w:val="false"/>
          <w:color w:val="000000"/>
          <w:sz w:val="22"/>
        </w:rPr>
        <w:t> </w:t>
      </w:r>
      <w:r>
        <w:rPr>
          <w:rFonts w:ascii="Times New Roman" w:hAnsi="Times New Roman"/>
          <w:b w:val="false"/>
          <w:i w:val="false"/>
          <w:color w:val="000000"/>
          <w:sz w:val="22"/>
        </w:rPr>
        <w:t>In the event an application is denied pursuant to this chapter, the commissioner shall issue a written statement of the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91.5(5)</w:t>
      </w:r>
      <w:r>
        <w:rPr>
          <w:rFonts w:ascii="Times New Roman" w:hAnsi="Times New Roman"/>
          <w:b w:val="false"/>
          <w:i w:val="false"/>
          <w:color w:val="000000"/>
          <w:sz w:val="22"/>
        </w:rPr>
        <w:t> </w:t>
      </w:r>
      <w:r>
        <w:rPr>
          <w:rFonts w:ascii="Times New Roman" w:hAnsi="Times New Roman"/>
          <w:b w:val="false"/>
          <w:i w:val="false"/>
          <w:color w:val="000000"/>
          <w:sz w:val="22"/>
        </w:rPr>
        <w:t>The commissioner may conduct a background check annually on a person issued a permit to carry weapons pursuant to this chapter but such check shall not include a NICS inquiry.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9238B</w:t>
      </w:r>
      <w:r>
        <w:rPr>
          <w:rFonts w:ascii="Times New Roman" w:hAnsi="Times New Roman"/>
          <w:b w:val="false"/>
          <w:i w:val="false"/>
          <w:color w:val="000000"/>
          <w:sz w:val="16"/>
        </w:rPr>
        <w:t>, IAB 11/17/10,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8226C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661—91.6</w:t>
      </w:r>
      <w:r>
        <w:rPr>
          <w:rFonts w:ascii="Times New Roman" w:hAnsi="Times New Roman"/>
          <w:b/>
          <w:i w:val="false"/>
          <w:color w:val="000000"/>
          <w:sz w:val="22"/>
        </w:rPr>
        <w:t xml:space="preserve">(724) </w:t>
      </w:r>
      <w:r>
        <w:rPr>
          <w:rFonts w:ascii="Times New Roman" w:hAnsi="Times New Roman"/>
          <w:b/>
          <w:i w:val="false"/>
          <w:color w:val="000000"/>
          <w:sz w:val="22"/>
        </w:rPr>
        <w:t xml:space="preserve">Suspension or revocation of permit to carry weapons.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91.6(1)</w:t>
      </w:r>
      <w:r>
        <w:rPr>
          <w:rFonts w:ascii="Times New Roman" w:hAnsi="Times New Roman"/>
          <w:b w:val="false"/>
          <w:i w:val="false"/>
          <w:color w:val="000000"/>
          <w:sz w:val="22"/>
        </w:rPr>
        <w:t> </w:t>
      </w:r>
      <w:r>
        <w:rPr>
          <w:rFonts w:ascii="Times New Roman" w:hAnsi="Times New Roman"/>
          <w:b w:val="false"/>
          <w:i w:val="false"/>
          <w:color w:val="000000"/>
          <w:sz w:val="22"/>
        </w:rPr>
        <w:t>When the commissioner finds that a person who has been issued a permit to carry weapons has been arrested for a disqualifying offense or is the subject of proceedings that could lead to the person’s ineligibility for such permit, the commissioner may immediately suspend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91.6(2)</w:t>
      </w:r>
      <w:r>
        <w:rPr>
          <w:rFonts w:ascii="Times New Roman" w:hAnsi="Times New Roman"/>
          <w:b w:val="false"/>
          <w:i w:val="false"/>
          <w:color w:val="000000"/>
          <w:sz w:val="22"/>
        </w:rPr>
        <w:t> </w:t>
      </w:r>
      <w:r>
        <w:rPr>
          <w:rFonts w:ascii="Times New Roman" w:hAnsi="Times New Roman"/>
          <w:b w:val="false"/>
          <w:i w:val="false"/>
          <w:color w:val="000000"/>
          <w:sz w:val="22"/>
        </w:rPr>
        <w:t>A permit holder shall be notified immediately of such suspension by personal service or certified mail. The suspension shall become effective upon the permit holder’s receipt of such notice. If notified by personal service, the permit shall be surrendered to the person serving such notice for return to the commissioner. If notified by certified mail, the permit holder will be instructed to return the permit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91.6(3)</w:t>
      </w:r>
      <w:r>
        <w:rPr>
          <w:rFonts w:ascii="Times New Roman" w:hAnsi="Times New Roman"/>
          <w:b w:val="false"/>
          <w:i w:val="false"/>
          <w:color w:val="000000"/>
          <w:sz w:val="22"/>
        </w:rPr>
        <w:t> </w:t>
      </w:r>
      <w:r>
        <w:rPr>
          <w:rFonts w:ascii="Times New Roman" w:hAnsi="Times New Roman"/>
          <w:b w:val="false"/>
          <w:i w:val="false"/>
          <w:color w:val="000000"/>
          <w:sz w:val="22"/>
        </w:rPr>
        <w:t>If the arrest or proceeding does not result in a disqualifying conviction or finding against the permit holder, the commissioner shall immediately reinstate the permit upon proof of the matter’s final disposition and shall return the permit to the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91.6(4)</w:t>
      </w:r>
      <w:r>
        <w:rPr>
          <w:rFonts w:ascii="Times New Roman" w:hAnsi="Times New Roman"/>
          <w:b w:val="false"/>
          <w:i w:val="false"/>
          <w:color w:val="000000"/>
          <w:sz w:val="22"/>
        </w:rPr>
        <w:t> </w:t>
      </w:r>
      <w:r>
        <w:rPr>
          <w:rFonts w:ascii="Times New Roman" w:hAnsi="Times New Roman"/>
          <w:b w:val="false"/>
          <w:i w:val="false"/>
          <w:color w:val="000000"/>
          <w:sz w:val="22"/>
        </w:rPr>
        <w:t>If the arrest or proceeding results in a disqualifying conviction or finding against the permit holder, the commissioner shall revoke the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9238B</w:t>
      </w:r>
      <w:r>
        <w:rPr>
          <w:rFonts w:ascii="Times New Roman" w:hAnsi="Times New Roman"/>
          <w:b w:val="false"/>
          <w:i w:val="false"/>
          <w:color w:val="000000"/>
          <w:sz w:val="16"/>
        </w:rPr>
        <w:t>, IAB 11/17/10, effective 1/1/11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661—91.7</w:t>
      </w:r>
      <w:r>
        <w:rPr>
          <w:rFonts w:ascii="Times New Roman" w:hAnsi="Times New Roman"/>
          <w:b/>
          <w:i w:val="false"/>
          <w:color w:val="000000"/>
          <w:sz w:val="22"/>
        </w:rPr>
        <w:t xml:space="preserve">(724) </w:t>
      </w:r>
      <w:r>
        <w:rPr>
          <w:rFonts w:ascii="Times New Roman" w:hAnsi="Times New Roman"/>
          <w:b/>
          <w:i w:val="false"/>
          <w:color w:val="000000"/>
          <w:sz w:val="22"/>
        </w:rPr>
        <w:t xml:space="preserve">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91.7(1)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commissioner denies, suspends or revokes a professional permit to carry weapons or an educator professional permit for any reason other than the federal disqualifiers in subrule </w:t>
      </w:r>
      <w:hyperlink r:id="rId14">
        <w:r>
          <w:rPr>
            <w:rStyle w:val="Hyperlink"/>
            <w:rFonts w:ascii="Times New Roman" w:hAnsi="Times New Roman"/>
            <w:b w:val="false"/>
            <w:i w:val="false"/>
            <w:color w:val="000000"/>
            <w:sz w:val="22"/>
          </w:rPr>
          <w:t>91.3(1)</w:t>
        </w:r>
      </w:hyperlink>
      <w:r>
        <w:rPr>
          <w:rFonts w:ascii="Times New Roman" w:hAnsi="Times New Roman"/>
          <w:b w:val="false"/>
          <w:i w:val="false"/>
          <w:color w:val="000000"/>
          <w:sz w:val="22"/>
        </w:rPr>
        <w:t xml:space="preserve"> or </w:t>
      </w:r>
      <w:hyperlink r:id="rId15">
        <w:r>
          <w:rPr>
            <w:rStyle w:val="Hyperlink"/>
            <w:rFonts w:ascii="Times New Roman" w:hAnsi="Times New Roman"/>
            <w:b w:val="false"/>
            <w:i w:val="false"/>
            <w:color w:val="000000"/>
            <w:sz w:val="22"/>
          </w:rPr>
          <w:t>91.3(2)</w:t>
        </w:r>
      </w:hyperlink>
      <w:r>
        <w:rPr>
          <w:rFonts w:ascii="Times New Roman" w:hAnsi="Times New Roman"/>
          <w:b w:val="false"/>
          <w:i w:val="false"/>
          <w:color w:val="000000"/>
          <w:sz w:val="22"/>
        </w:rPr>
        <w:t xml:space="preserve"> or the reasons in paragraph </w:t>
      </w:r>
      <w:hyperlink r:id="rId16">
        <w:r>
          <w:rPr>
            <w:rStyle w:val="Hyperlink"/>
            <w:rFonts w:ascii="Times New Roman" w:hAnsi="Times New Roman"/>
            <w:b w:val="false"/>
            <w:i w:val="false"/>
            <w:color w:val="000000"/>
            <w:sz w:val="22"/>
          </w:rPr>
          <w:t>91.3(3)</w:t>
        </w:r>
      </w:hyperlink>
      <w:r>
        <w:rPr>
          <w:rFonts w:ascii="Times New Roman" w:hAnsi="Times New Roman"/>
          <w:b w:val="false"/>
          <w:i/>
          <w:color w:val="000000"/>
          <w:sz w:val="22"/>
        </w:rPr>
        <w:t>“e”</w:t>
      </w:r>
      <w:r>
        <w:rPr>
          <w:rFonts w:ascii="Times New Roman" w:hAnsi="Times New Roman"/>
          <w:b w:val="false"/>
          <w:i w:val="false"/>
          <w:color w:val="000000"/>
          <w:sz w:val="22"/>
        </w:rPr>
        <w:t xml:space="preserve"> or </w:t>
      </w:r>
      <w:r>
        <w:rPr>
          <w:rFonts w:ascii="Times New Roman" w:hAnsi="Times New Roman"/>
          <w:b w:val="false"/>
          <w:i/>
          <w:color w:val="000000"/>
          <w:sz w:val="22"/>
        </w:rPr>
        <w:t>“f,”</w:t>
      </w:r>
      <w:r>
        <w:rPr>
          <w:rFonts w:ascii="Times New Roman" w:hAnsi="Times New Roman"/>
          <w:b w:val="false"/>
          <w:i w:val="false"/>
          <w:color w:val="000000"/>
          <w:sz w:val="22"/>
        </w:rPr>
        <w:t xml:space="preserve"> the applicant or permit holder may file an appeal with an administrative law judge by filing a copy of the denial, suspension, or revocation notice with a written statement that clearly states the applicant’s reasons rebutting the denial,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91.7(2)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commissioner denies, suspends or revokes a professional permit to carry weapons solely for one or more of the federal disqualifiers in subrule </w:t>
      </w:r>
      <w:hyperlink r:id="rId17">
        <w:r>
          <w:rPr>
            <w:rStyle w:val="Hyperlink"/>
            <w:rFonts w:ascii="Times New Roman" w:hAnsi="Times New Roman"/>
            <w:b w:val="false"/>
            <w:i w:val="false"/>
            <w:color w:val="000000"/>
            <w:sz w:val="22"/>
          </w:rPr>
          <w:t>91.3(1)</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91.3(2)</w:t>
        </w:r>
      </w:hyperlink>
      <w:r>
        <w:rPr>
          <w:rFonts w:ascii="Times New Roman" w:hAnsi="Times New Roman"/>
          <w:b w:val="false"/>
          <w:i w:val="false"/>
          <w:color w:val="000000"/>
          <w:sz w:val="22"/>
        </w:rPr>
        <w:t xml:space="preserve"> or the reasons in paragraph </w:t>
      </w:r>
      <w:hyperlink r:id="rId19">
        <w:r>
          <w:rPr>
            <w:rStyle w:val="Hyperlink"/>
            <w:rFonts w:ascii="Times New Roman" w:hAnsi="Times New Roman"/>
            <w:b w:val="false"/>
            <w:i w:val="false"/>
            <w:color w:val="000000"/>
            <w:sz w:val="22"/>
          </w:rPr>
          <w:t>91.3(3)</w:t>
        </w:r>
        <w:r>
          <w:rPr>
            <w:rFonts w:ascii="Times New Roman" w:hAnsi="Times New Roman"/>
            <w:b w:val="false"/>
            <w:i/>
            <w:color w:val="000000"/>
            <w:sz w:val="22"/>
          </w:rPr>
          <w:t>“e”</w:t>
        </w:r>
      </w:hyperlink>
      <w:r>
        <w:rPr>
          <w:rFonts w:ascii="Times New Roman" w:hAnsi="Times New Roman"/>
          <w:b w:val="false"/>
          <w:i w:val="false"/>
          <w:color w:val="000000"/>
          <w:sz w:val="22"/>
        </w:rPr>
        <w:t xml:space="preserve"> or </w:t>
      </w:r>
      <w:r>
        <w:rPr>
          <w:rFonts w:ascii="Times New Roman" w:hAnsi="Times New Roman"/>
          <w:b w:val="false"/>
          <w:i/>
          <w:color w:val="000000"/>
          <w:sz w:val="22"/>
        </w:rPr>
        <w:t>“f,”</w:t>
      </w:r>
      <w:r>
        <w:rPr>
          <w:rFonts w:ascii="Times New Roman" w:hAnsi="Times New Roman"/>
          <w:b w:val="false"/>
          <w:i w:val="false"/>
          <w:color w:val="000000"/>
          <w:sz w:val="22"/>
        </w:rPr>
        <w:t xml:space="preserve"> the applicant or permit holder may pursue relief of the NICS determination pursuant to Public Law 103-159.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91.7(3)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outcome of proceedings conducted pursuant to subrule </w:t>
      </w:r>
      <w:hyperlink r:id="rId20">
        <w:r>
          <w:rPr>
            <w:rStyle w:val="Hyperlink"/>
            <w:rFonts w:ascii="Times New Roman" w:hAnsi="Times New Roman"/>
            <w:b w:val="false"/>
            <w:i w:val="false"/>
            <w:color w:val="000000"/>
            <w:sz w:val="22"/>
          </w:rPr>
          <w:t>91.7(2)</w:t>
        </w:r>
      </w:hyperlink>
      <w:r>
        <w:rPr>
          <w:rFonts w:ascii="Times New Roman" w:hAnsi="Times New Roman"/>
          <w:b w:val="false"/>
          <w:i w:val="false"/>
          <w:color w:val="000000"/>
          <w:sz w:val="22"/>
        </w:rPr>
        <w:t xml:space="preserve"> shall be binding on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9238B</w:t>
      </w:r>
      <w:r>
        <w:rPr>
          <w:rFonts w:ascii="Times New Roman" w:hAnsi="Times New Roman"/>
          <w:b w:val="false"/>
          <w:i w:val="false"/>
          <w:color w:val="000000"/>
          <w:sz w:val="16"/>
        </w:rPr>
        <w:t>, IAB 11/17/10,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8226C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661—91.8</w:t>
      </w:r>
      <w:r>
        <w:rPr>
          <w:rFonts w:ascii="Times New Roman" w:hAnsi="Times New Roman"/>
          <w:b/>
          <w:i w:val="false"/>
          <w:color w:val="000000"/>
          <w:sz w:val="22"/>
        </w:rPr>
        <w:t xml:space="preserve">(724) </w:t>
      </w:r>
      <w:r>
        <w:rPr>
          <w:rFonts w:ascii="Times New Roman" w:hAnsi="Times New Roman"/>
          <w:b/>
          <w:i w:val="false"/>
          <w:color w:val="000000"/>
          <w:sz w:val="22"/>
        </w:rPr>
        <w:t xml:space="preserve">Reports and remittance to the state.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91.8(1)</w:t>
      </w:r>
      <w:r>
        <w:rPr>
          <w:rFonts w:ascii="Times New Roman" w:hAnsi="Times New Roman"/>
          <w:b w:val="false"/>
          <w:i w:val="false"/>
          <w:color w:val="000000"/>
          <w:sz w:val="22"/>
        </w:rPr>
        <w:t> </w:t>
      </w:r>
      <w:r>
        <w:rPr>
          <w:rFonts w:ascii="Times New Roman" w:hAnsi="Times New Roman"/>
          <w:b w:val="false"/>
          <w:i w:val="false"/>
          <w:color w:val="000000"/>
          <w:sz w:val="22"/>
        </w:rPr>
        <w:t>Each sheriff shall remit to the commissioner, by the seventh working day of the month that follows the month in which one or more permits to carry a weapon were issued, information about such permits, including the permit holder’s name, date of birth, NICS transaction number, type of permit issued and the portion of the fee to be remitted to the department as required by the Iowa Code. The reporting of issued permits to carry a weapon shall be in a format designated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91.8(2)</w:t>
      </w:r>
      <w:r>
        <w:rPr>
          <w:rFonts w:ascii="Times New Roman" w:hAnsi="Times New Roman"/>
          <w:b w:val="false"/>
          <w:i w:val="false"/>
          <w:color w:val="000000"/>
          <w:sz w:val="22"/>
        </w:rPr>
        <w:t> </w:t>
      </w:r>
      <w:r>
        <w:rPr>
          <w:rFonts w:ascii="Times New Roman" w:hAnsi="Times New Roman"/>
          <w:b w:val="false"/>
          <w:i w:val="false"/>
          <w:color w:val="000000"/>
          <w:sz w:val="22"/>
        </w:rPr>
        <w:t>Fees for each reporting period shall be remitted by the sheriff and shall be in the form of a check made payable to Iowa Department of Public Safety.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9238B</w:t>
      </w:r>
      <w:r>
        <w:rPr>
          <w:rFonts w:ascii="Times New Roman" w:hAnsi="Times New Roman"/>
          <w:b w:val="false"/>
          <w:i w:val="false"/>
          <w:color w:val="000000"/>
          <w:sz w:val="16"/>
        </w:rPr>
        <w:t>, IAB 11/17/10, effective 1/1/11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661—91.9</w:t>
      </w:r>
      <w:r>
        <w:rPr>
          <w:rFonts w:ascii="Times New Roman" w:hAnsi="Times New Roman"/>
          <w:b/>
          <w:i w:val="false"/>
          <w:color w:val="000000"/>
          <w:sz w:val="22"/>
        </w:rPr>
        <w:t xml:space="preserve">(724) </w:t>
      </w:r>
      <w:r>
        <w:rPr>
          <w:rFonts w:ascii="Times New Roman" w:hAnsi="Times New Roman"/>
          <w:b/>
          <w:i w:val="false"/>
          <w:color w:val="000000"/>
          <w:sz w:val="22"/>
        </w:rPr>
        <w:t xml:space="preserve">Offensive weapons as collector’s items—method of classification. </w:t>
      </w:r>
      <w:r>
        <w:rPr>
          <w:rFonts w:ascii="Times New Roman" w:hAnsi="Times New Roman"/>
          <w:b w:val="false"/>
          <w:i w:val="false"/>
          <w:color w:val="000000"/>
          <w:sz w:val="22"/>
        </w:rPr>
        <w:t>An offensive weapon, other than a machine gun, shall be classified by the commissioner as a collector’s item when the firearm is so defined as a curio or relic in 27 CFR 478.11 as published April 1, 2010, in the Code of Federal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9238B</w:t>
      </w:r>
      <w:r>
        <w:rPr>
          <w:rFonts w:ascii="Times New Roman" w:hAnsi="Times New Roman"/>
          <w:b w:val="false"/>
          <w:i w:val="false"/>
          <w:color w:val="000000"/>
          <w:sz w:val="16"/>
        </w:rPr>
        <w:t>, IAB 11/17/10, effective 1/1/11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661—91.10</w:t>
      </w:r>
      <w:r>
        <w:rPr>
          <w:rFonts w:ascii="Times New Roman" w:hAnsi="Times New Roman"/>
          <w:b/>
          <w:i w:val="false"/>
          <w:color w:val="000000"/>
          <w:sz w:val="22"/>
        </w:rPr>
        <w:t xml:space="preserve">(724) </w:t>
      </w:r>
      <w:r>
        <w:rPr>
          <w:rFonts w:ascii="Times New Roman" w:hAnsi="Times New Roman"/>
          <w:b/>
          <w:i w:val="false"/>
          <w:color w:val="000000"/>
          <w:sz w:val="22"/>
        </w:rPr>
        <w:t xml:space="preserve">Application for approved training organization for permits to carry weapons.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91.10(1)</w:t>
      </w:r>
      <w:r>
        <w:rPr>
          <w:rFonts w:ascii="Times New Roman" w:hAnsi="Times New Roman"/>
          <w:b w:val="false"/>
          <w:i w:val="false"/>
          <w:color w:val="000000"/>
          <w:sz w:val="22"/>
        </w:rPr>
        <w:t> </w:t>
      </w:r>
      <w:r>
        <w:rPr>
          <w:rFonts w:ascii="Times New Roman" w:hAnsi="Times New Roman"/>
          <w:b w:val="false"/>
          <w:i w:val="false"/>
          <w:color w:val="000000"/>
          <w:sz w:val="22"/>
        </w:rPr>
        <w:t>Firearm training organizations seeking approval by the Iowa department of public safety to certify individuals as handgun safety training instructors eligible to offer handgun safety training shall meet the criteria outlined in this rule, such as the years of training experience of the organization’s primary point of contact or owner, and shall maintain student records, an active website URL, and the ability of the organization’s instructors and primary point of contact or owner to legally possess and carry firearms. A firearm training organization seeking approval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certificate of existence from the Iowa secretary of state issued within 60 days of application or, if a non-Iowa corporation, a certificate of authority to do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course syllabi or lesson plans and the goals or objectives for instructor certification courses, which shall show that instructor candidates who successfully complete the courses possess knowledge, competence, and demonstrated proficiency in the area of handgun safety instruction and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course syllabi or lesson plans and the goals or objectives for general student courses, which shall demonstrate that students will receive the basic requirements for a permit to carry a weapon as established by the Iowa department of public safety. The courses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Instruction in current Iowa laws related to use of deadly force, reasonable force, defense of home, and defense of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Instruction in basic handgun safety, safe handling, safe storage, and safe cleaning;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Instruction in handgun nomenclature and the operation of pistols and revolvers.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certificate to be issued by the organization to instructors who complete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résumé and firearm-related training credentials of the individual serving as the organization’s primary point of contact or owner, which shall demonstrate a minimum of five years of cumulative experience as a firearm instructor. This experience shall include firearm instructor duties related to military service or firearm instructor certification by the National Rifle Association or by an organization approved by the Iowa department of public safety pursuant to Iowa Code section 724.9A as enacted by </w:t>
      </w:r>
      <w:r>
        <w:rPr>
          <w:rFonts w:ascii="Times New Roman" w:hAnsi="Times New Roman"/>
          <w:b w:val="false"/>
          <w:i w:val="false"/>
          <w:color w:val="000000"/>
          <w:sz w:val="22"/>
        </w:rPr>
        <w:t>2021 Iowa Acts, House File 756</w:t>
      </w:r>
      <w:r>
        <w:rPr>
          <w:rFonts w:ascii="Times New Roman" w:hAnsi="Times New Roman"/>
          <w:b w:val="false"/>
          <w:i w:val="false"/>
          <w:color w:val="000000"/>
          <w:sz w:val="22"/>
        </w:rPr>
        <w:t>, section 20, or by the Iowa law enforcement academy or another state’s department of public safety, state police department, or similar certifying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written description of how the organization will maintain instructor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written description of how the organization will maintain proficiency of instruction, including staying abreast of statutory changes that may affect what is being taught, and will ensure the instructional practices and integrity of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URL of a website containing a list of certified instructors or an electronic application that allows users to search and validate instructor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 application processing fee of $500 (the certification of approval is valid for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91.10(2)</w:t>
      </w:r>
      <w:r>
        <w:rPr>
          <w:rFonts w:ascii="Times New Roman" w:hAnsi="Times New Roman"/>
          <w:b w:val="false"/>
          <w:i w:val="false"/>
          <w:color w:val="000000"/>
          <w:sz w:val="22"/>
        </w:rPr>
        <w:t> </w:t>
      </w:r>
      <w:r>
        <w:rPr>
          <w:rFonts w:ascii="Times New Roman" w:hAnsi="Times New Roman"/>
          <w:b w:val="false"/>
          <w:i w:val="false"/>
          <w:color w:val="000000"/>
          <w:sz w:val="22"/>
        </w:rPr>
        <w:t>A firearm training organization seeking to renew its certification of approval must submit: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Current lesson plans or course syllabi and course goals or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certificate of existence from the Iowa secretary of state issued within 60 days of application or, if a non-Iowa corporation, a certificate of authority to do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updated credentials of the organization’s primary point of contact or owner (submit all documentation demonstrating qualification to provide oversight of firearm training instructors). These credentials must include a minimum of five years of verifiable firearm instructor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application processing fee of $500 (the certification of approval is valid for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91.10(3)</w:t>
      </w:r>
      <w:r>
        <w:rPr>
          <w:rFonts w:ascii="Times New Roman" w:hAnsi="Times New Roman"/>
          <w:b w:val="false"/>
          <w:i w:val="false"/>
          <w:color w:val="000000"/>
          <w:sz w:val="22"/>
        </w:rPr>
        <w:t> </w:t>
      </w:r>
      <w:r>
        <w:rPr>
          <w:rFonts w:ascii="Times New Roman" w:hAnsi="Times New Roman"/>
          <w:b w:val="false"/>
          <w:i w:val="false"/>
          <w:color w:val="000000"/>
          <w:sz w:val="22"/>
        </w:rPr>
        <w:t>The Iowa department of public safety may deny, suspend, or revoke the certification of approval of a firearm training organization if the department has reason to believe that the organization or its primary point of contact or owner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Become ineligible to possess a firearm under Iowa Code chapter </w:t>
      </w:r>
      <w:hyperlink r:id="rId21">
        <w:r>
          <w:rPr>
            <w:rStyle w:val="Hyperlink"/>
            <w:rFonts w:ascii="Times New Roman" w:hAnsi="Times New Roman"/>
            <w:b w:val="false"/>
            <w:i w:val="false"/>
            <w:color w:val="000000"/>
            <w:sz w:val="22"/>
          </w:rPr>
          <w:t>724</w:t>
        </w:r>
      </w:hyperlink>
      <w:r>
        <w:rPr>
          <w:rFonts w:ascii="Times New Roman" w:hAnsi="Times New Roman"/>
          <w:b w:val="false"/>
          <w:i w:val="false"/>
          <w:color w:val="000000"/>
          <w:sz w:val="22"/>
        </w:rPr>
        <w:t xml:space="preserve"> or federal law;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Knowingly and willfully provided false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Provided instruction contrary to the established and approved curriculum;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Failed to meet any portion of the instructor certification guidelines as originally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91.10(4)</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certification as a firearm training organization or a certified firearm permit-to-carry instructor has the same appeal rights as set forth in rule </w:t>
      </w:r>
      <w:hyperlink r:id="rId22">
        <w:r>
          <w:rPr>
            <w:rStyle w:val="Hyperlink"/>
            <w:rFonts w:ascii="Times New Roman" w:hAnsi="Times New Roman"/>
            <w:b w:val="false"/>
            <w:i w:val="false"/>
            <w:color w:val="000000"/>
            <w:sz w:val="22"/>
          </w:rPr>
          <w:t>661—91.7</w:t>
        </w:r>
      </w:hyperlink>
      <w:r>
        <w:rPr>
          <w:rFonts w:ascii="Times New Roman" w:hAnsi="Times New Roman"/>
          <w:b w:val="false"/>
          <w:i w:val="false"/>
          <w:color w:val="000000"/>
          <w:sz w:val="22"/>
        </w:rPr>
        <w:t>(724).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5974C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 xml:space="preserve">; </w:t>
      </w:r>
      <w:r>
        <w:rPr>
          <w:rFonts w:ascii="Times New Roman" w:hAnsi="Times New Roman"/>
          <w:b/>
          <w:i w:val="false"/>
          <w:color w:val="000000"/>
          <w:sz w:val="16"/>
        </w:rPr>
        <w:t>ARC 8226C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661—91.11</w:t>
      </w:r>
      <w:r>
        <w:rPr>
          <w:rFonts w:ascii="Times New Roman" w:hAnsi="Times New Roman"/>
          <w:b/>
          <w:i w:val="false"/>
          <w:color w:val="000000"/>
          <w:sz w:val="22"/>
        </w:rPr>
        <w:t xml:space="preserve">(724) </w:t>
      </w:r>
      <w:r>
        <w:rPr>
          <w:rFonts w:ascii="Times New Roman" w:hAnsi="Times New Roman"/>
          <w:b/>
          <w:i w:val="false"/>
          <w:color w:val="000000"/>
          <w:sz w:val="22"/>
        </w:rPr>
        <w:t xml:space="preserve">Application procedures for an Iowa educator professional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an employee of a school district, a private school, or an institution of higher education as defined in Iowa Code section </w:t>
      </w:r>
      <w:hyperlink r:id="rId23">
        <w:r>
          <w:rPr>
            <w:rStyle w:val="Hyperlink"/>
            <w:rFonts w:ascii="Times New Roman" w:hAnsi="Times New Roman"/>
            <w:b w:val="false"/>
            <w:i w:val="false"/>
            <w:color w:val="000000"/>
            <w:sz w:val="22"/>
          </w:rPr>
          <w:t>722.11</w:t>
        </w:r>
      </w:hyperlink>
      <w:r>
        <w:rPr>
          <w:rFonts w:ascii="Times New Roman" w:hAnsi="Times New Roman"/>
          <w:b w:val="false"/>
          <w:i w:val="false"/>
          <w:color w:val="000000"/>
          <w:sz w:val="22"/>
        </w:rPr>
        <w:t xml:space="preserve"> may apply to the commissioner for an educator professional permit. The applicant shall comply with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fully and accurately completed and signed application for an educator professional permit to carry weapons, including documentation of a firearm safety training course provided in Iowa Code section </w:t>
      </w:r>
      <w:hyperlink r:id="rId24">
        <w:r>
          <w:rPr>
            <w:rStyle w:val="Hyperlink"/>
            <w:rFonts w:ascii="Times New Roman" w:hAnsi="Times New Roman"/>
            <w:b w:val="false"/>
            <w:i w:val="false"/>
            <w:color w:val="000000"/>
            <w:sz w:val="22"/>
          </w:rPr>
          <w:t>724.9(1)</w:t>
        </w:r>
      </w:hyperlink>
      <w:r>
        <w:rPr>
          <w:rFonts w:ascii="Times New Roman" w:hAnsi="Times New Roman"/>
          <w:b w:val="false"/>
          <w:i w:val="false"/>
          <w:color w:val="000000"/>
          <w:sz w:val="22"/>
        </w:rPr>
        <w:t>, or proof of current permit to carry.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firearm training documentation from the initial live familiarization firearm and course of fire training. For a new application, training must have occurred within the 12-month period prior to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documentation of the training required by Iowa Code section </w:t>
      </w:r>
      <w:hyperlink r:id="rId25">
        <w:r>
          <w:rPr>
            <w:rStyle w:val="Hyperlink"/>
            <w:rFonts w:ascii="Times New Roman" w:hAnsi="Times New Roman"/>
            <w:b w:val="false"/>
            <w:i w:val="false"/>
            <w:color w:val="000000"/>
            <w:sz w:val="22"/>
          </w:rPr>
          <w:t>724.6(1)</w:t>
        </w:r>
      </w:hyperlink>
      <w:r>
        <w:rPr>
          <w:rFonts w:ascii="Times New Roman" w:hAnsi="Times New Roman"/>
          <w:b w:val="false"/>
          <w:i/>
          <w:color w:val="000000"/>
          <w:sz w:val="22"/>
        </w:rPr>
        <w:t>“a”</w:t>
      </w:r>
      <w:r>
        <w:rPr>
          <w:rFonts w:ascii="Times New Roman" w:hAnsi="Times New Roman"/>
          <w:b w:val="false"/>
          <w:i w:val="false"/>
          <w:color w:val="000000"/>
          <w:sz w:val="22"/>
        </w:rPr>
        <w:t xml:space="preserve">(3) as enacted by </w:t>
      </w:r>
      <w:r>
        <w:rPr>
          <w:rFonts w:ascii="Times New Roman" w:hAnsi="Times New Roman"/>
          <w:b w:val="false"/>
          <w:i w:val="false"/>
          <w:color w:val="000000"/>
          <w:sz w:val="22"/>
        </w:rPr>
        <w:t>2024 Iowa Acts, House File 2586</w:t>
      </w:r>
      <w:r>
        <w:rPr>
          <w:rFonts w:ascii="Times New Roman" w:hAnsi="Times New Roman"/>
          <w:b w:val="false"/>
          <w:i w:val="false"/>
          <w:color w:val="000000"/>
          <w:sz w:val="22"/>
        </w:rPr>
        <w:t xml:space="preserve">, and as amended by </w:t>
      </w:r>
      <w:r>
        <w:rPr>
          <w:rFonts w:ascii="Times New Roman" w:hAnsi="Times New Roman"/>
          <w:b w:val="false"/>
          <w:i w:val="false"/>
          <w:color w:val="000000"/>
          <w:sz w:val="22"/>
        </w:rPr>
        <w:t>2024 Iowa Acts, House File 2652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the required fee of $50 per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Display identification documentation as defined in rule </w:t>
      </w:r>
      <w:hyperlink r:id="rId26">
        <w:r>
          <w:rPr>
            <w:rStyle w:val="Hyperlink"/>
            <w:rFonts w:ascii="Times New Roman" w:hAnsi="Times New Roman"/>
            <w:b w:val="false"/>
            <w:i w:val="false"/>
            <w:color w:val="000000"/>
            <w:sz w:val="22"/>
          </w:rPr>
          <w:t>661—91.1</w:t>
        </w:r>
      </w:hyperlink>
      <w:r>
        <w:rPr>
          <w:rFonts w:ascii="Times New Roman" w:hAnsi="Times New Roman"/>
          <w:b w:val="false"/>
          <w:i w:val="false"/>
          <w:color w:val="000000"/>
          <w:sz w:val="22"/>
        </w:rPr>
        <w:t>(724) or provide a photocopy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Authorize communication between the employing school district and the department for purposes of carrying out this chapter. Any correspondence between the school and the department shall not be considered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91.11(2)</w:t>
      </w:r>
      <w:r>
        <w:rPr>
          <w:rFonts w:ascii="Times New Roman" w:hAnsi="Times New Roman"/>
          <w:b w:val="false"/>
          <w:i w:val="false"/>
          <w:color w:val="000000"/>
          <w:sz w:val="22"/>
        </w:rPr>
        <w:t> </w:t>
      </w:r>
      <w:r>
        <w:rPr>
          <w:rFonts w:ascii="Times New Roman" w:hAnsi="Times New Roman"/>
          <w:b w:val="false"/>
          <w:i w:val="false"/>
          <w:color w:val="000000"/>
          <w:sz w:val="22"/>
        </w:rPr>
        <w:t>The commissioner will return an incomplete application to the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8226C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661—91.12</w:t>
      </w:r>
      <w:r>
        <w:rPr>
          <w:rFonts w:ascii="Times New Roman" w:hAnsi="Times New Roman"/>
          <w:b/>
          <w:i w:val="false"/>
          <w:color w:val="000000"/>
          <w:sz w:val="22"/>
        </w:rPr>
        <w:t xml:space="preserve">(724) </w:t>
      </w:r>
      <w:r>
        <w:rPr>
          <w:rFonts w:ascii="Times New Roman" w:hAnsi="Times New Roman"/>
          <w:b/>
          <w:i w:val="false"/>
          <w:color w:val="000000"/>
          <w:sz w:val="22"/>
        </w:rPr>
        <w:t xml:space="preserve">Suspension or revocation of an educator professional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91.12(1)</w:t>
      </w:r>
      <w:r>
        <w:rPr>
          <w:rFonts w:ascii="Times New Roman" w:hAnsi="Times New Roman"/>
          <w:b w:val="false"/>
          <w:i w:val="false"/>
          <w:color w:val="000000"/>
          <w:sz w:val="22"/>
        </w:rPr>
        <w:t> </w:t>
      </w:r>
      <w:r>
        <w:rPr>
          <w:rFonts w:ascii="Times New Roman" w:hAnsi="Times New Roman"/>
          <w:b w:val="false"/>
          <w:i w:val="false"/>
          <w:color w:val="000000"/>
          <w:sz w:val="22"/>
        </w:rPr>
        <w:t>When the commissioner finds that a person who has been issued an educator professional permit has been arrested for a disqualifying offense or is the subject of proceedings that could lead to the person’s ineligibility for such permit, the commissioner may immediately suspend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arrest or proceeding does not result in a disqualifying conviction or finding against the permit holder, the commissioner shall immediately reinstate the educator professional permit upon proof of the matter’s final disposition and shall return the permit to the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arrest or proceeding results in a disqualifying conviction or finding against the permit holder, the commissioner shall revoke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91.12(2)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commissioner discovers that a person has failed to provide the required annual and quarterly training records in a timely manner, the commissioner will suspend the educator professional permit and may, at the commissioner’s discretion, provide the person 30 days to provide the required training documentation. If training documentation is not received after the thirtieth day, the commissioner shall revoke the educator professional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suspension was for failing to provide training records, and training records indicating training was completed in accordance with Iowa Code section </w:t>
      </w:r>
      <w:hyperlink r:id="rId27">
        <w:r>
          <w:rPr>
            <w:rStyle w:val="Hyperlink"/>
            <w:rFonts w:ascii="Times New Roman" w:hAnsi="Times New Roman"/>
            <w:b w:val="false"/>
            <w:i w:val="false"/>
            <w:color w:val="000000"/>
            <w:sz w:val="22"/>
          </w:rPr>
          <w:t>724.6</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2024 Iowa Acts, House File 2586</w:t>
      </w:r>
      <w:r>
        <w:rPr>
          <w:rFonts w:ascii="Times New Roman" w:hAnsi="Times New Roman"/>
          <w:b w:val="false"/>
          <w:i w:val="false"/>
          <w:color w:val="000000"/>
          <w:sz w:val="22"/>
        </w:rPr>
        <w:t xml:space="preserve">, and as amended by </w:t>
      </w:r>
      <w:r>
        <w:rPr>
          <w:rFonts w:ascii="Times New Roman" w:hAnsi="Times New Roman"/>
          <w:b w:val="false"/>
          <w:i w:val="false"/>
          <w:color w:val="000000"/>
          <w:sz w:val="22"/>
        </w:rPr>
        <w:t>2024 Iowa Acts, House File 2652</w:t>
      </w:r>
      <w:r>
        <w:rPr>
          <w:rFonts w:ascii="Times New Roman" w:hAnsi="Times New Roman"/>
          <w:b w:val="false"/>
          <w:i w:val="false"/>
          <w:color w:val="000000"/>
          <w:sz w:val="22"/>
        </w:rPr>
        <w:t>, are subsequently provided to the Iowa department of public safety within 30 days after the educator professional permit holder was notified of the suspension, the commissioner will immediately reinstate the educator professional permit and return the permit to the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educator professional permit holder fails to complete the training required under these rules or fails to provide training documentation to the Iowa department of public safety, the commissioner will revoke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91.12(3)</w:t>
      </w:r>
      <w:r>
        <w:rPr>
          <w:rFonts w:ascii="Times New Roman" w:hAnsi="Times New Roman"/>
          <w:b w:val="false"/>
          <w:i w:val="false"/>
          <w:color w:val="000000"/>
          <w:sz w:val="22"/>
        </w:rPr>
        <w:t> </w:t>
      </w:r>
      <w:r>
        <w:rPr>
          <w:rFonts w:ascii="Times New Roman" w:hAnsi="Times New Roman"/>
          <w:b w:val="false"/>
          <w:i w:val="false"/>
          <w:color w:val="000000"/>
          <w:sz w:val="22"/>
        </w:rPr>
        <w:t>An educator professional permit holder will be notified immediately of such suspension by personal service or certified mail. The suspension becomes effective upon the educator permit holder’s receipt of such notice. If notified by personal service, the educator professional permit will be surrendered to the person serving such notice for return to the commissioner. If notified by certified mail, the educator professional permit holder will be instructed to return the permit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91.12(4)</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of an educator professional permit suspension or revocation will be provided to the superintendent of the school in which the educator professional permit holder is employed.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8226C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661—91.13</w:t>
      </w:r>
      <w:r>
        <w:rPr>
          <w:rFonts w:ascii="Times New Roman" w:hAnsi="Times New Roman"/>
          <w:b/>
          <w:i w:val="false"/>
          <w:color w:val="000000"/>
          <w:sz w:val="22"/>
        </w:rPr>
        <w:t xml:space="preserve">(724) </w:t>
      </w:r>
      <w:r>
        <w:rPr>
          <w:rFonts w:ascii="Times New Roman" w:hAnsi="Times New Roman"/>
          <w:b/>
          <w:i w:val="false"/>
          <w:color w:val="000000"/>
          <w:sz w:val="22"/>
        </w:rPr>
        <w:t xml:space="preserve">Approval of required training for educator professional permit. </w:t>
      </w:r>
      <w:r>
        <w:rPr>
          <w:rFonts w:ascii="Times New Roman" w:hAnsi="Times New Roman"/>
          <w:b w:val="false"/>
          <w:i w:val="false"/>
          <w:color w:val="000000"/>
          <w:sz w:val="22"/>
        </w:rPr>
        <w:t xml:space="preserve">Persons or organizations may provide one or more of the trainings required for an educator professional permit. Persons or organizations seeking approval by the Iowa department of public safety to provide training required by Iowa Code section 279.84(2), 279.84(3), or </w:t>
      </w:r>
      <w:hyperlink r:id="rId28">
        <w:r>
          <w:rPr>
            <w:rStyle w:val="Hyperlink"/>
            <w:rFonts w:ascii="Times New Roman" w:hAnsi="Times New Roman"/>
            <w:b w:val="false"/>
            <w:i w:val="false"/>
            <w:color w:val="000000"/>
            <w:sz w:val="22"/>
          </w:rPr>
          <w:t>724.6(1)</w:t>
        </w:r>
      </w:hyperlink>
      <w:r>
        <w:rPr>
          <w:rFonts w:ascii="Times New Roman" w:hAnsi="Times New Roman"/>
          <w:b w:val="false"/>
          <w:i/>
          <w:color w:val="000000"/>
          <w:sz w:val="22"/>
        </w:rPr>
        <w:t>“a”</w:t>
      </w:r>
      <w:r>
        <w:rPr>
          <w:rFonts w:ascii="Times New Roman" w:hAnsi="Times New Roman"/>
          <w:b w:val="false"/>
          <w:i w:val="false"/>
          <w:color w:val="000000"/>
          <w:sz w:val="22"/>
        </w:rPr>
        <w:t xml:space="preserve">(3) as enacted by </w:t>
      </w:r>
      <w:r>
        <w:rPr>
          <w:rFonts w:ascii="Times New Roman" w:hAnsi="Times New Roman"/>
          <w:b w:val="false"/>
          <w:i w:val="false"/>
          <w:color w:val="000000"/>
          <w:sz w:val="22"/>
        </w:rPr>
        <w:t>2024 Iowa Acts, House File 2586</w:t>
      </w:r>
      <w:r>
        <w:rPr>
          <w:rFonts w:ascii="Times New Roman" w:hAnsi="Times New Roman"/>
          <w:b w:val="false"/>
          <w:i w:val="false"/>
          <w:color w:val="000000"/>
          <w:sz w:val="22"/>
        </w:rPr>
        <w:t xml:space="preserve">, and as amended by </w:t>
      </w:r>
      <w:r>
        <w:rPr>
          <w:rFonts w:ascii="Times New Roman" w:hAnsi="Times New Roman"/>
          <w:b w:val="false"/>
          <w:i w:val="false"/>
          <w:color w:val="000000"/>
          <w:sz w:val="22"/>
        </w:rPr>
        <w:t>2024 Iowa Acts, House File 2652</w:t>
      </w:r>
      <w:r>
        <w:rPr>
          <w:rFonts w:ascii="Times New Roman" w:hAnsi="Times New Roman"/>
          <w:b w:val="false"/>
          <w:i w:val="false"/>
          <w:color w:val="000000"/>
          <w:sz w:val="22"/>
        </w:rPr>
        <w:t>, will submit the following on department of public safety Form WP15: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course syllabi or lesson plans and the goals or objectives for student courses as outlined, which demonstrate that students will receive the basic requirements for the required course.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91.13(2)</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of the person providing the training and sufficient information to determine that the person is competent to provide the training.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8226C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661—91.14</w:t>
      </w:r>
      <w:r>
        <w:rPr>
          <w:rFonts w:ascii="Times New Roman" w:hAnsi="Times New Roman"/>
          <w:b/>
          <w:i w:val="false"/>
          <w:color w:val="000000"/>
          <w:sz w:val="22"/>
        </w:rPr>
        <w:t xml:space="preserve">(724) </w:t>
      </w:r>
      <w:r>
        <w:rPr>
          <w:rFonts w:ascii="Times New Roman" w:hAnsi="Times New Roman"/>
          <w:b/>
          <w:i w:val="false"/>
          <w:color w:val="000000"/>
          <w:sz w:val="22"/>
        </w:rPr>
        <w:t xml:space="preserve">Educator professional permit training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91.14(1)</w:t>
      </w:r>
      <w:r>
        <w:rPr>
          <w:rFonts w:ascii="Times New Roman" w:hAnsi="Times New Roman"/>
          <w:b w:val="false"/>
          <w:i w:val="false"/>
          <w:color w:val="000000"/>
          <w:sz w:val="22"/>
        </w:rPr>
        <w:t> </w:t>
      </w:r>
      <w:r>
        <w:rPr>
          <w:rFonts w:ascii="Times New Roman" w:hAnsi="Times New Roman"/>
          <w:b w:val="false"/>
          <w:i w:val="false"/>
          <w:color w:val="000000"/>
          <w:sz w:val="22"/>
        </w:rPr>
        <w:t>To receive an educator professional permit, the applicant must submit proof of successful completion of the following training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One-time, in-person legal training as described in rule </w:t>
      </w:r>
      <w:hyperlink r:id="rId29">
        <w:r>
          <w:rPr>
            <w:rStyle w:val="Hyperlink"/>
            <w:rFonts w:ascii="Times New Roman" w:hAnsi="Times New Roman"/>
            <w:b w:val="false"/>
            <w:i w:val="false"/>
            <w:color w:val="000000"/>
            <w:sz w:val="22"/>
          </w:rPr>
          <w:t>661—91.15</w:t>
        </w:r>
      </w:hyperlink>
      <w:r>
        <w:rPr>
          <w:rFonts w:ascii="Times New Roman" w:hAnsi="Times New Roman"/>
          <w:b w:val="false"/>
          <w:i w:val="false"/>
          <w:color w:val="000000"/>
          <w:sz w:val="22"/>
        </w:rPr>
        <w:t>(724).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In-person emergency medical training as described in rule </w:t>
      </w:r>
      <w:hyperlink r:id="rId30">
        <w:r>
          <w:rPr>
            <w:rStyle w:val="Hyperlink"/>
            <w:rFonts w:ascii="Times New Roman" w:hAnsi="Times New Roman"/>
            <w:b w:val="false"/>
            <w:i w:val="false"/>
            <w:color w:val="000000"/>
            <w:sz w:val="22"/>
          </w:rPr>
          <w:t>661—91.16</w:t>
        </w:r>
      </w:hyperlink>
      <w:r>
        <w:rPr>
          <w:rFonts w:ascii="Times New Roman" w:hAnsi="Times New Roman"/>
          <w:b w:val="false"/>
          <w:i w:val="false"/>
          <w:color w:val="000000"/>
          <w:sz w:val="22"/>
        </w:rPr>
        <w:t>(724).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In-person communication training as described in rule </w:t>
      </w:r>
      <w:hyperlink r:id="rId31">
        <w:r>
          <w:rPr>
            <w:rStyle w:val="Hyperlink"/>
            <w:rFonts w:ascii="Times New Roman" w:hAnsi="Times New Roman"/>
            <w:b w:val="false"/>
            <w:i w:val="false"/>
            <w:color w:val="000000"/>
            <w:sz w:val="22"/>
          </w:rPr>
          <w:t>661—91.17</w:t>
        </w:r>
      </w:hyperlink>
      <w:r>
        <w:rPr>
          <w:rFonts w:ascii="Times New Roman" w:hAnsi="Times New Roman"/>
          <w:b w:val="false"/>
          <w:i w:val="false"/>
          <w:color w:val="000000"/>
          <w:sz w:val="22"/>
        </w:rPr>
        <w:t>(724).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In-person live scenario training as described in rule </w:t>
      </w:r>
      <w:hyperlink r:id="rId32">
        <w:r>
          <w:rPr>
            <w:rStyle w:val="Hyperlink"/>
            <w:rFonts w:ascii="Times New Roman" w:hAnsi="Times New Roman"/>
            <w:b w:val="false"/>
            <w:i w:val="false"/>
            <w:color w:val="000000"/>
            <w:sz w:val="22"/>
          </w:rPr>
          <w:t>661—91.18</w:t>
        </w:r>
      </w:hyperlink>
      <w:r>
        <w:rPr>
          <w:rFonts w:ascii="Times New Roman" w:hAnsi="Times New Roman"/>
          <w:b w:val="false"/>
          <w:i w:val="false"/>
          <w:color w:val="000000"/>
          <w:sz w:val="22"/>
        </w:rPr>
        <w:t>(724).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Initial live familiarization firearm and course of fire training as described in rule </w:t>
      </w:r>
      <w:hyperlink r:id="rId33">
        <w:r>
          <w:rPr>
            <w:rStyle w:val="Hyperlink"/>
            <w:rFonts w:ascii="Times New Roman" w:hAnsi="Times New Roman"/>
            <w:b w:val="false"/>
            <w:i w:val="false"/>
            <w:color w:val="000000"/>
            <w:sz w:val="22"/>
          </w:rPr>
          <w:t>661—91.19</w:t>
        </w:r>
      </w:hyperlink>
      <w:r>
        <w:rPr>
          <w:rFonts w:ascii="Times New Roman" w:hAnsi="Times New Roman"/>
          <w:b w:val="false"/>
          <w:i w:val="false"/>
          <w:color w:val="000000"/>
          <w:sz w:val="22"/>
        </w:rPr>
        <w:t xml:space="preserve">(724).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91.14(2)</w:t>
      </w:r>
      <w:r>
        <w:rPr>
          <w:rFonts w:ascii="Times New Roman" w:hAnsi="Times New Roman"/>
          <w:b w:val="false"/>
          <w:i w:val="false"/>
          <w:color w:val="000000"/>
          <w:sz w:val="22"/>
        </w:rPr>
        <w:t> </w:t>
      </w:r>
      <w:r>
        <w:rPr>
          <w:rFonts w:ascii="Times New Roman" w:hAnsi="Times New Roman"/>
          <w:b w:val="false"/>
          <w:i w:val="false"/>
          <w:color w:val="000000"/>
          <w:sz w:val="22"/>
        </w:rPr>
        <w:t xml:space="preserve">To maintain an educator professional permit, the permit holder must submit proof of successful completion of the following annual training courses: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in-person emergency medical training as described in rule </w:t>
      </w:r>
      <w:hyperlink r:id="rId34">
        <w:r>
          <w:rPr>
            <w:rStyle w:val="Hyperlink"/>
            <w:rFonts w:ascii="Times New Roman" w:hAnsi="Times New Roman"/>
            <w:b w:val="false"/>
            <w:i w:val="false"/>
            <w:color w:val="000000"/>
            <w:sz w:val="22"/>
          </w:rPr>
          <w:t>661—91.16</w:t>
        </w:r>
      </w:hyperlink>
      <w:r>
        <w:rPr>
          <w:rFonts w:ascii="Times New Roman" w:hAnsi="Times New Roman"/>
          <w:b w:val="false"/>
          <w:i w:val="false"/>
          <w:color w:val="000000"/>
          <w:sz w:val="22"/>
        </w:rPr>
        <w:t>(724).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in-person communication training as described in rule </w:t>
      </w:r>
      <w:hyperlink r:id="rId35">
        <w:r>
          <w:rPr>
            <w:rStyle w:val="Hyperlink"/>
            <w:rFonts w:ascii="Times New Roman" w:hAnsi="Times New Roman"/>
            <w:b w:val="false"/>
            <w:i w:val="false"/>
            <w:color w:val="000000"/>
            <w:sz w:val="22"/>
          </w:rPr>
          <w:t>661—91.17</w:t>
        </w:r>
      </w:hyperlink>
      <w:r>
        <w:rPr>
          <w:rFonts w:ascii="Times New Roman" w:hAnsi="Times New Roman"/>
          <w:b w:val="false"/>
          <w:i w:val="false"/>
          <w:color w:val="000000"/>
          <w:sz w:val="22"/>
        </w:rPr>
        <w:t>(724).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in-person live scenario training as described in rule </w:t>
      </w:r>
      <w:hyperlink r:id="rId36">
        <w:r>
          <w:rPr>
            <w:rStyle w:val="Hyperlink"/>
            <w:rFonts w:ascii="Times New Roman" w:hAnsi="Times New Roman"/>
            <w:b w:val="false"/>
            <w:i w:val="false"/>
            <w:color w:val="000000"/>
            <w:sz w:val="22"/>
          </w:rPr>
          <w:t>661—91.18</w:t>
        </w:r>
      </w:hyperlink>
      <w:r>
        <w:rPr>
          <w:rFonts w:ascii="Times New Roman" w:hAnsi="Times New Roman"/>
          <w:b w:val="false"/>
          <w:i w:val="false"/>
          <w:color w:val="000000"/>
          <w:sz w:val="22"/>
        </w:rPr>
        <w:t xml:space="preserve">(724).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91.14(3)</w:t>
      </w:r>
      <w:r>
        <w:rPr>
          <w:rFonts w:ascii="Times New Roman" w:hAnsi="Times New Roman"/>
          <w:b w:val="false"/>
          <w:i w:val="false"/>
          <w:color w:val="000000"/>
          <w:sz w:val="22"/>
        </w:rPr>
        <w:t> </w:t>
      </w:r>
      <w:r>
        <w:rPr>
          <w:rFonts w:ascii="Times New Roman" w:hAnsi="Times New Roman"/>
          <w:b w:val="false"/>
          <w:i w:val="false"/>
          <w:color w:val="000000"/>
          <w:sz w:val="22"/>
        </w:rPr>
        <w:t xml:space="preserve">To maintain an educator professional permit, in addition to the above requirements, the permit holder must submit proof of successful completion of quarterly live firearm training, including successful completion of the prescribed qualification course.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91.14(4)</w:t>
      </w:r>
      <w:r>
        <w:rPr>
          <w:rFonts w:ascii="Times New Roman" w:hAnsi="Times New Roman"/>
          <w:b w:val="false"/>
          <w:i w:val="false"/>
          <w:color w:val="000000"/>
          <w:sz w:val="22"/>
        </w:rPr>
        <w:t> </w:t>
      </w:r>
      <w:r>
        <w:rPr>
          <w:rFonts w:ascii="Times New Roman" w:hAnsi="Times New Roman"/>
          <w:b w:val="false"/>
          <w:i w:val="false"/>
          <w:color w:val="000000"/>
          <w:sz w:val="22"/>
        </w:rPr>
        <w:t xml:space="preserve">All trainings shall be submitted to the Iowa department of public safety program services bureau via email at </w:t>
      </w:r>
      <w:hyperlink r:id="rId37">
        <w:r>
          <w:rPr>
            <w:rStyle w:val="Hyperlink"/>
            <w:rFonts w:ascii="Times New Roman" w:hAnsi="Times New Roman"/>
            <w:b w:val="false"/>
            <w:i w:val="false"/>
            <w:color w:val="000000"/>
            <w:sz w:val="22"/>
            <w:u w:val="single"/>
          </w:rPr>
          <w:t>wpinfo@dps.state.ia.us</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8226C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661—91.15</w:t>
      </w:r>
      <w:r>
        <w:rPr>
          <w:rFonts w:ascii="Times New Roman" w:hAnsi="Times New Roman"/>
          <w:b/>
          <w:i w:val="false"/>
          <w:color w:val="000000"/>
          <w:sz w:val="22"/>
        </w:rPr>
        <w:t xml:space="preserve">(724) </w:t>
      </w:r>
      <w:r>
        <w:rPr>
          <w:rFonts w:ascii="Times New Roman" w:hAnsi="Times New Roman"/>
          <w:b/>
          <w:i w:val="false"/>
          <w:color w:val="000000"/>
          <w:sz w:val="22"/>
        </w:rPr>
        <w:t xml:space="preserve">Curriculum for one-time legal training for an educator professional permit. </w:t>
      </w:r>
      <w:r>
        <w:rPr>
          <w:rFonts w:ascii="Times New Roman" w:hAnsi="Times New Roman"/>
          <w:b w:val="false"/>
          <w:i w:val="false"/>
          <w:color w:val="000000"/>
          <w:sz w:val="22"/>
        </w:rPr>
        <w:t>The one-time, in-person legal training for an educator professional permit shall be at minimum three hours and shall include all of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Parameters and limitations of the educator professional permit, including areas of potential liability, and requirements to maintain the permit.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State and federal law regarding legal principles of use of force and use of force generally, including modern principles of continuum of force.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State and federal laws regarding qualified immunity.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State law regarding the Iowa municipal tort claims Act.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Workers’ compensation law with regard to school critical incidents.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8226C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661—91.16</w:t>
      </w:r>
      <w:r>
        <w:rPr>
          <w:rFonts w:ascii="Times New Roman" w:hAnsi="Times New Roman"/>
          <w:b/>
          <w:i w:val="false"/>
          <w:color w:val="000000"/>
          <w:sz w:val="22"/>
        </w:rPr>
        <w:t xml:space="preserve">(724) </w:t>
      </w:r>
      <w:r>
        <w:rPr>
          <w:rFonts w:ascii="Times New Roman" w:hAnsi="Times New Roman"/>
          <w:b/>
          <w:i w:val="false"/>
          <w:color w:val="000000"/>
          <w:sz w:val="22"/>
        </w:rPr>
        <w:t xml:space="preserve">Curriculum for annual emergency medical training for an educator professional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91.16(1)</w:t>
      </w:r>
      <w:r>
        <w:rPr>
          <w:rFonts w:ascii="Times New Roman" w:hAnsi="Times New Roman"/>
          <w:b w:val="false"/>
          <w:i w:val="false"/>
          <w:color w:val="000000"/>
          <w:sz w:val="22"/>
        </w:rPr>
        <w:t> </w:t>
      </w:r>
      <w:r>
        <w:rPr>
          <w:rFonts w:ascii="Times New Roman" w:hAnsi="Times New Roman"/>
          <w:b w:val="false"/>
          <w:i w:val="false"/>
          <w:color w:val="000000"/>
          <w:sz w:val="22"/>
        </w:rPr>
        <w:t>Annual live, in-person emergency medical training for an educator professional permit shall be at minimum three hours and will include all of the following information and practical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Cardiopulmonary resuscitation (CPR) and cardiac arrest management, including the use of an automated external defibrillator (AED).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Basic knowledge of first aid and trauma care, including casualty assessment, hemorrhage control, and assessment and initial treating of penetrating chest and abdominal wounds.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Basic knowledge and skills necessary to stop/slow life-threatening blood loss.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91.16(2)</w:t>
      </w:r>
      <w:r>
        <w:rPr>
          <w:rFonts w:ascii="Times New Roman" w:hAnsi="Times New Roman"/>
          <w:b w:val="false"/>
          <w:i w:val="false"/>
          <w:color w:val="000000"/>
          <w:sz w:val="22"/>
        </w:rPr>
        <w:t> </w:t>
      </w:r>
      <w:r>
        <w:rPr>
          <w:rFonts w:ascii="Times New Roman" w:hAnsi="Times New Roman"/>
          <w:b w:val="false"/>
          <w:i w:val="false"/>
          <w:color w:val="000000"/>
          <w:sz w:val="22"/>
        </w:rPr>
        <w:t xml:space="preserve">A current certification for CPR and first aid shall satisfy two hours of the required training.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8226C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661—91.17</w:t>
      </w:r>
      <w:r>
        <w:rPr>
          <w:rFonts w:ascii="Times New Roman" w:hAnsi="Times New Roman"/>
          <w:b/>
          <w:i w:val="false"/>
          <w:color w:val="000000"/>
          <w:sz w:val="22"/>
        </w:rPr>
        <w:t xml:space="preserve">(724) </w:t>
      </w:r>
      <w:r>
        <w:rPr>
          <w:rFonts w:ascii="Times New Roman" w:hAnsi="Times New Roman"/>
          <w:b/>
          <w:i w:val="false"/>
          <w:color w:val="000000"/>
          <w:sz w:val="22"/>
        </w:rPr>
        <w:t xml:space="preserve">Curriculum for annual communication training for an educator professional permit. </w:t>
      </w:r>
      <w:r>
        <w:rPr>
          <w:rFonts w:ascii="Times New Roman" w:hAnsi="Times New Roman"/>
          <w:b w:val="false"/>
          <w:i w:val="false"/>
          <w:color w:val="000000"/>
          <w:sz w:val="22"/>
        </w:rPr>
        <w:t>The annual in-person communication training for an educator professional permit shall be at minimum two hours and shall include all of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De-escalation techniques, crisis intervention techniques, and the applicability and limitations of those techniques.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Communication capabilities and coordination, including principles of proper communication to first responders, such as communication of location, condition(s), actions, and needs.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Reporting of potential school threats, including to the governor’s school safety bureau of the department of public safety and the Safe+Sound app.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8226C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661—91.18</w:t>
      </w:r>
      <w:r>
        <w:rPr>
          <w:rFonts w:ascii="Times New Roman" w:hAnsi="Times New Roman"/>
          <w:b/>
          <w:i w:val="false"/>
          <w:color w:val="000000"/>
          <w:sz w:val="22"/>
        </w:rPr>
        <w:t xml:space="preserve">(724) </w:t>
      </w:r>
      <w:r>
        <w:rPr>
          <w:rFonts w:ascii="Times New Roman" w:hAnsi="Times New Roman"/>
          <w:b/>
          <w:i w:val="false"/>
          <w:color w:val="000000"/>
          <w:sz w:val="22"/>
        </w:rPr>
        <w:t xml:space="preserve">Curriculum for annual live scenario training for an educator professional permit. </w:t>
      </w:r>
      <w:r>
        <w:rPr>
          <w:rFonts w:ascii="Times New Roman" w:hAnsi="Times New Roman"/>
          <w:b w:val="false"/>
          <w:i w:val="false"/>
          <w:color w:val="000000"/>
          <w:sz w:val="22"/>
        </w:rPr>
        <w:t>The annual in-person live scenario training for an educator professional permit shall be at minimum 12 hours and will include all of the following information and practical experience: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Psychology of critical incidents.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Tactics of responding to critical incidents in schools.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Weapon retention.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Scenario-based or simulated training exercises, including both close-quarters and hallway scenarios.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8226C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661—91.19</w:t>
      </w:r>
      <w:r>
        <w:rPr>
          <w:rFonts w:ascii="Times New Roman" w:hAnsi="Times New Roman"/>
          <w:b/>
          <w:i w:val="false"/>
          <w:color w:val="000000"/>
          <w:sz w:val="22"/>
        </w:rPr>
        <w:t xml:space="preserve">(724) </w:t>
      </w:r>
      <w:r>
        <w:rPr>
          <w:rFonts w:ascii="Times New Roman" w:hAnsi="Times New Roman"/>
          <w:b/>
          <w:i w:val="false"/>
          <w:color w:val="000000"/>
          <w:sz w:val="22"/>
        </w:rPr>
        <w:t xml:space="preserve">Curriculum for firearms training for an educator professional permit. </w:t>
      </w:r>
      <w:r>
        <w:rPr>
          <w:rFonts w:ascii="Times New Roman" w:hAnsi="Times New Roman"/>
          <w:b w:val="false"/>
          <w:i w:val="false"/>
          <w:color w:val="000000"/>
          <w:sz w:val="22"/>
        </w:rPr>
        <w:t>In-person firearms training for an educator professional permit shall consist of an initial live familiarization firearm and course of fire training for new educator professional permit applicants and quarterly continued training after the completion of the initial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91.19(1)</w:t>
      </w:r>
      <w:r>
        <w:rPr>
          <w:rFonts w:ascii="Times New Roman" w:hAnsi="Times New Roman"/>
          <w:b w:val="false"/>
          <w:i w:val="false"/>
          <w:color w:val="000000"/>
          <w:sz w:val="22"/>
        </w:rPr>
        <w:t> </w:t>
      </w:r>
      <w:r>
        <w:rPr>
          <w:rFonts w:ascii="Times New Roman" w:hAnsi="Times New Roman"/>
          <w:b w:val="false"/>
          <w:i w:val="false"/>
          <w:color w:val="000000"/>
          <w:sz w:val="22"/>
        </w:rPr>
        <w:t>Educator professional permit holders shall meet the minimum level of proficiency as established by Iowa department of public safety rules in the use of any weapon used in the capacity as an educator professional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91.19(2)</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Initial live familiarization firearms and course of fire training, not including the qualification course of fire, will be at minimum 20 hours and will include all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Weapon safety, including but not limited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Treating all firearms as if they are loaded,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Pointing the muzzle in a safe direction at all times,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Keeping fingers outside the trigger guard until the person’s aim is on target and the person has decided to fire,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Being sure of the target and what is beyond.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Principals of good marksmanship, including but not limited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Sight picture,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Trigger squeeze,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Proper 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Drawing of the weapon,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Grip of the weapon,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Breathing,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Follow-through,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Dry drills, including but not limited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Administrative load,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Combat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Tactical load,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Temporary stoppage drill,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Double feed drill,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Holstering and reholstering.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Handgun marksmanship training, including but not limited to the drills prescribed by the Iowa department of public safety on Form WP16.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91.19(3)</w:t>
      </w:r>
      <w:r>
        <w:rPr>
          <w:rFonts w:ascii="Times New Roman" w:hAnsi="Times New Roman"/>
          <w:b w:val="false"/>
          <w:i w:val="false"/>
          <w:color w:val="000000"/>
          <w:sz w:val="22"/>
        </w:rPr>
        <w:t> </w:t>
      </w:r>
      <w:r>
        <w:rPr>
          <w:rFonts w:ascii="Times New Roman" w:hAnsi="Times New Roman"/>
          <w:b w:val="false"/>
          <w:i w:val="false"/>
          <w:color w:val="000000"/>
          <w:sz w:val="22"/>
        </w:rPr>
        <w:t xml:space="preserve">The qualification course of fire will be completed at the end of the initial live familiarization course and at each subsequent quarterly firearms training. This course must be completed utilizing the firearm that will be used in the person’s capacity as an educator professional permit holder. The qualification course consists of the standards adopted by the Iowa law enforcement academy for the certified officer in-service handgun qualification course.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91.19(4)</w:t>
      </w:r>
      <w:r>
        <w:rPr>
          <w:rFonts w:ascii="Times New Roman" w:hAnsi="Times New Roman"/>
          <w:b w:val="false"/>
          <w:i w:val="false"/>
          <w:color w:val="000000"/>
          <w:sz w:val="22"/>
        </w:rPr>
        <w:t> </w:t>
      </w:r>
      <w:r>
        <w:rPr>
          <w:rFonts w:ascii="Times New Roman" w:hAnsi="Times New Roman"/>
          <w:b w:val="false"/>
          <w:i w:val="false"/>
          <w:color w:val="000000"/>
          <w:sz w:val="22"/>
        </w:rPr>
        <w:t>If a person fails to successfully satisfy the qualification course of fire after the second attempt, the person must retake the initial familiarization firearm and course of fire training and attempt the qualification course of fire again. If the person fails to successfully satisfy the qualification course of fire after the remedial training, the person must wait until the following quarter and may attempt again as if the person is a first-time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8226C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8">
        <w:r>
          <w:rPr>
            <w:rStyle w:val="Hyperlink"/>
            <w:rFonts w:ascii="Times New Roman" w:hAnsi="Times New Roman"/>
            <w:b w:val="false"/>
            <w:i w:val="false"/>
            <w:color w:val="000000"/>
            <w:sz w:val="22"/>
          </w:rPr>
          <w:t>724</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House File 756</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4/13/07, Notice 9/27/06—published 5/9/07, effective 7/1/07]</w:t>
      </w:r>
    </w:p>
    <w:p>
      <w:pPr>
        <w:spacing w:before="0" w:after="0"/>
        <w:ind w:left="120"/>
        <w:jc w:val="center"/>
      </w:pPr>
      <w:r>
        <w:rPr>
          <w:rFonts w:ascii="Times New Roman" w:hAnsi="Times New Roman"/>
          <w:b w:val="false"/>
          <w:i w:val="false"/>
          <w:color w:val="000000"/>
          <w:sz w:val="21"/>
        </w:rPr>
        <w:t>[Filed ARC 9238B</w:t>
      </w:r>
      <w:r>
        <w:rPr>
          <w:rFonts w:ascii="Times New Roman" w:hAnsi="Times New Roman"/>
          <w:b w:val="false"/>
          <w:i w:val="false"/>
          <w:color w:val="000000"/>
          <w:sz w:val="21"/>
        </w:rPr>
        <w:t xml:space="preserve"> (Notice ARC 9085B, IAB 9/22/10)</w:t>
      </w:r>
      <w:r>
        <w:rPr>
          <w:rFonts w:ascii="Times New Roman" w:hAnsi="Times New Roman"/>
          <w:b w:val="false"/>
          <w:i w:val="false"/>
          <w:color w:val="000000"/>
          <w:sz w:val="21"/>
        </w:rPr>
        <w:t>, IAB 11/17/10, effective 1/1/11]</w:t>
      </w:r>
    </w:p>
    <w:p>
      <w:pPr>
        <w:spacing w:before="0" w:after="0"/>
        <w:ind w:left="120"/>
        <w:jc w:val="center"/>
      </w:pPr>
      <w:r>
        <w:rPr>
          <w:rFonts w:ascii="Times New Roman" w:hAnsi="Times New Roman"/>
          <w:b w:val="false"/>
          <w:i w:val="false"/>
          <w:color w:val="000000"/>
          <w:sz w:val="21"/>
        </w:rPr>
        <w:t>[Editorial change: IAC Supplement 3/9/11]</w:t>
      </w:r>
    </w:p>
    <w:p>
      <w:pPr>
        <w:spacing w:before="0" w:after="0"/>
        <w:ind w:left="120"/>
        <w:jc w:val="center"/>
      </w:pPr>
      <w:r>
        <w:rPr>
          <w:rFonts w:ascii="Times New Roman" w:hAnsi="Times New Roman"/>
          <w:b w:val="false"/>
          <w:i w:val="false"/>
          <w:color w:val="000000"/>
          <w:sz w:val="21"/>
        </w:rPr>
        <w:t>[Filed ARC 5974C</w:t>
      </w:r>
      <w:r>
        <w:rPr>
          <w:rFonts w:ascii="Times New Roman" w:hAnsi="Times New Roman"/>
          <w:b w:val="false"/>
          <w:i w:val="false"/>
          <w:color w:val="000000"/>
          <w:sz w:val="21"/>
        </w:rPr>
        <w:t xml:space="preserve"> (Notice ARC 5735C, IAB 6/30/21)</w:t>
      </w:r>
      <w:r>
        <w:rPr>
          <w:rFonts w:ascii="Times New Roman" w:hAnsi="Times New Roman"/>
          <w:b w:val="false"/>
          <w:i w:val="false"/>
          <w:color w:val="000000"/>
          <w:sz w:val="21"/>
        </w:rPr>
        <w:t>, IAB 10/20/21, effective 11/24/21]</w:t>
      </w:r>
    </w:p>
    <w:p>
      <w:pPr>
        <w:spacing w:before="0" w:after="0"/>
        <w:ind w:left="120"/>
        <w:jc w:val="center"/>
      </w:pPr>
      <w:r>
        <w:rPr>
          <w:rFonts w:ascii="Times New Roman" w:hAnsi="Times New Roman"/>
          <w:b w:val="false"/>
          <w:i w:val="false"/>
          <w:color w:val="000000"/>
          <w:sz w:val="21"/>
        </w:rPr>
        <w:t>[Filed ARC 8226C</w:t>
      </w:r>
      <w:r>
        <w:rPr>
          <w:rFonts w:ascii="Times New Roman" w:hAnsi="Times New Roman"/>
          <w:b w:val="false"/>
          <w:i w:val="false"/>
          <w:color w:val="000000"/>
          <w:sz w:val="21"/>
        </w:rPr>
        <w:t xml:space="preserve"> (Notice ARC 8141C, IAB 7/24/24)</w:t>
      </w:r>
      <w:r>
        <w:rPr>
          <w:rFonts w:ascii="Times New Roman" w:hAnsi="Times New Roman"/>
          <w:b w:val="false"/>
          <w:i w:val="false"/>
          <w:color w:val="000000"/>
          <w:sz w:val="21"/>
        </w:rPr>
        <w:t>, IAB 9/18/24, effective 10/23/24]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24.6.pdf" Type="http://schemas.openxmlformats.org/officeDocument/2006/relationships/hyperlink" Id="rId5"/>
    <Relationship TargetMode="External" Target="https://www.legis.iowa.gov/docs/ico/chapter/724.9A.pdf" Type="http://schemas.openxmlformats.org/officeDocument/2006/relationships/hyperlink" Id="rId6"/>
    <Relationship TargetMode="External" Target="https://www.legis.iowa.gov/docs/ico/chapter/80A.pdf" Type="http://schemas.openxmlformats.org/officeDocument/2006/relationships/hyperlink" Id="rId7"/>
    <Relationship TargetMode="External" Target="https://www.legis.iowa.gov/docs/ico/chapter/80.pdf" Type="http://schemas.openxmlformats.org/officeDocument/2006/relationships/hyperlink" Id="rId8"/>
    <Relationship TargetMode="External" Target="https://www.legis.iowa.gov/docs/ico/chapter/724.pdf" Type="http://schemas.openxmlformats.org/officeDocument/2006/relationships/hyperlink" Id="rId9"/>
    <Relationship TargetMode="External" Target="https://www.legis.iowa.gov/docs/ico/chapter/708.pdf" Type="http://schemas.openxmlformats.org/officeDocument/2006/relationships/hyperlink" Id="rId10"/>
    <Relationship TargetMode="External" Target="https://www.legis.iowa.gov/docs/iac/rule/661.91.1.pdf" Type="http://schemas.openxmlformats.org/officeDocument/2006/relationships/hyperlink" Id="rId11"/>
    <Relationship TargetMode="External" Target="https://www.legis.iowa.gov/docs/iac/rule/661.91.3.pdf" Type="http://schemas.openxmlformats.org/officeDocument/2006/relationships/hyperlink" Id="rId12"/>
    <Relationship TargetMode="External" Target="https://www.legis.iowa.gov/docs/iac/rule/661.91.4.pdf" Type="http://schemas.openxmlformats.org/officeDocument/2006/relationships/hyperlink" Id="rId13"/>
    <Relationship TargetMode="External" Target="https://www.legis.iowa.gov/docs/iac/rule/661.91.3.pdf" Type="http://schemas.openxmlformats.org/officeDocument/2006/relationships/hyperlink" Id="rId14"/>
    <Relationship TargetMode="External" Target="https://www.legis.iowa.gov/docs/iac/rule/661.91.3.pdf" Type="http://schemas.openxmlformats.org/officeDocument/2006/relationships/hyperlink" Id="rId15"/>
    <Relationship TargetMode="External" Target="https://www.legis.iowa.gov/docs/iac/rule/661.91.3.pdf" Type="http://schemas.openxmlformats.org/officeDocument/2006/relationships/hyperlink" Id="rId16"/>
    <Relationship TargetMode="External" Target="https://www.legis.iowa.gov/docs/iac/rule/661.91.3.pdf" Type="http://schemas.openxmlformats.org/officeDocument/2006/relationships/hyperlink" Id="rId17"/>
    <Relationship TargetMode="External" Target="https://www.legis.iowa.gov/docs/iac/rule/661.91.3.pdf" Type="http://schemas.openxmlformats.org/officeDocument/2006/relationships/hyperlink" Id="rId18"/>
    <Relationship TargetMode="External" Target="https://www.legis.iowa.gov/docs/iac/rule/661.91.3.pdf" Type="http://schemas.openxmlformats.org/officeDocument/2006/relationships/hyperlink" Id="rId19"/>
    <Relationship TargetMode="External" Target="https://www.legis.iowa.gov/docs/iac/rule/661.91.7.pdf" Type="http://schemas.openxmlformats.org/officeDocument/2006/relationships/hyperlink" Id="rId20"/>
    <Relationship TargetMode="External" Target="https://www.legis.iowa.gov/docs/ico/chapter/724.pdf" Type="http://schemas.openxmlformats.org/officeDocument/2006/relationships/hyperlink" Id="rId21"/>
    <Relationship TargetMode="External" Target="https://www.legis.iowa.gov/docs/iac/rule/661.91.7.pdf" Type="http://schemas.openxmlformats.org/officeDocument/2006/relationships/hyperlink" Id="rId22"/>
    <Relationship TargetMode="External" Target="https://www.legis.iowa.gov/docs/ico/chapter/722.11.pdf" Type="http://schemas.openxmlformats.org/officeDocument/2006/relationships/hyperlink" Id="rId23"/>
    <Relationship TargetMode="External" Target="https://www.legis.iowa.gov/docs/ico/chapter/724.9.pdf" Type="http://schemas.openxmlformats.org/officeDocument/2006/relationships/hyperlink" Id="rId24"/>
    <Relationship TargetMode="External" Target="https://www.legis.iowa.gov/docs/ico/chapter/724.6.pdf" Type="http://schemas.openxmlformats.org/officeDocument/2006/relationships/hyperlink" Id="rId25"/>
    <Relationship TargetMode="External" Target="https://www.legis.iowa.gov/docs/iac/rule/661.91.1.pdf" Type="http://schemas.openxmlformats.org/officeDocument/2006/relationships/hyperlink" Id="rId26"/>
    <Relationship TargetMode="External" Target="https://www.legis.iowa.gov/docs/ico/chapter/724.6.pdf" Type="http://schemas.openxmlformats.org/officeDocument/2006/relationships/hyperlink" Id="rId27"/>
    <Relationship TargetMode="External" Target="https://www.legis.iowa.gov/docs/ico/chapter/724.6.pdf" Type="http://schemas.openxmlformats.org/officeDocument/2006/relationships/hyperlink" Id="rId28"/>
    <Relationship TargetMode="External" Target="https://www.legis.iowa.gov/docs/iac/rule/661.91.15.pdf" Type="http://schemas.openxmlformats.org/officeDocument/2006/relationships/hyperlink" Id="rId29"/>
    <Relationship TargetMode="External" Target="https://www.legis.iowa.gov/docs/iac/rule/661.91.16.pdf" Type="http://schemas.openxmlformats.org/officeDocument/2006/relationships/hyperlink" Id="rId30"/>
    <Relationship TargetMode="External" Target="https://www.legis.iowa.gov/docs/iac/rule/661.91.17.pdf" Type="http://schemas.openxmlformats.org/officeDocument/2006/relationships/hyperlink" Id="rId31"/>
    <Relationship TargetMode="External" Target="https://www.legis.iowa.gov/docs/iac/rule/661.91.18.pdf" Type="http://schemas.openxmlformats.org/officeDocument/2006/relationships/hyperlink" Id="rId32"/>
    <Relationship TargetMode="External" Target="https://www.legis.iowa.gov/docs/iac/rule/661.91.19.pdf" Type="http://schemas.openxmlformats.org/officeDocument/2006/relationships/hyperlink" Id="rId33"/>
    <Relationship TargetMode="External" Target="https://www.legis.iowa.gov/docs/iac/rule/661.91.16.pdf" Type="http://schemas.openxmlformats.org/officeDocument/2006/relationships/hyperlink" Id="rId34"/>
    <Relationship TargetMode="External" Target="https://www.legis.iowa.gov/docs/iac/rule/661.91.17.pdf" Type="http://schemas.openxmlformats.org/officeDocument/2006/relationships/hyperlink" Id="rId35"/>
    <Relationship TargetMode="External" Target="https://www.legis.iowa.gov/docs/iac/rule/661.91.18.pdf" Type="http://schemas.openxmlformats.org/officeDocument/2006/relationships/hyperlink" Id="rId36"/>
    <Relationship TargetMode="External" Target="mailto:wpinfo@dps.state.ia.us" Type="http://schemas.openxmlformats.org/officeDocument/2006/relationships/hyperlink" Id="rId37"/>
    <Relationship TargetMode="External" Target="https://www.legis.iowa.gov/docs/ico/chapter/724.pdf" Type="http://schemas.openxmlformats.org/officeDocument/2006/relationships/hyperlink" Id="rId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