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400</w:t>
      </w:r>
    </w:p>
    <w:p>
      <w:pPr>
        <w:spacing w:before="0" w:after="0"/>
        <w:ind w:left="120"/>
        <w:jc w:val="center"/>
      </w:pPr>
      <w:r>
        <w:rPr>
          <w:rFonts w:ascii="Times New Roman" w:hAnsi="Times New Roman"/>
          <w:b w:val="false"/>
          <w:i w:val="false"/>
          <w:color w:val="000000"/>
          <w:sz w:val="21"/>
        </w:rPr>
        <w:t>PEACE OFFICERS’ RETIREMENT, ACCIDENT, AND</w:t>
      </w:r>
      <w:r>
        <w:br/>
      </w:r>
      <w:r>
        <w:rPr>
          <w:rFonts w:ascii="Times New Roman" w:hAnsi="Times New Roman"/>
          <w:b w:val="false"/>
          <w:i w:val="false"/>
          <w:color w:val="000000"/>
          <w:sz w:val="21"/>
        </w:rPr>
        <w:t>DISABILITY SYSTEM—GOVERNANCE AND ADMINISTRATION</w:t>
      </w:r>
    </w:p>
    <w:p>
      <w:pPr>
        <w:spacing w:before="0" w:after="0"/>
        <w:ind w:left="120"/>
        <w:jc w:val="center"/>
      </w:pPr>
      <w:r>
        <w:rPr>
          <w:rFonts w:ascii="Times New Roman" w:hAnsi="Times New Roman"/>
          <w:b w:val="false"/>
          <w:i w:val="false"/>
          <w:color w:val="000000"/>
          <w:sz w:val="14"/>
        </w:rPr>
        <w:t>[Prior to 10/27/04, see 581—Ch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661—400.1</w:t>
      </w:r>
      <w:r>
        <w:rPr>
          <w:rFonts w:ascii="Times New Roman" w:hAnsi="Times New Roman"/>
          <w:b/>
          <w:i w:val="false"/>
          <w:color w:val="000000"/>
          <w:sz w:val="22"/>
        </w:rPr>
        <w:t xml:space="preserve">(97A) </w:t>
      </w:r>
      <w:r>
        <w:rPr>
          <w:rFonts w:ascii="Times New Roman" w:hAnsi="Times New Roman"/>
          <w:b/>
          <w:i w:val="false"/>
          <w:color w:val="000000"/>
          <w:sz w:val="22"/>
        </w:rPr>
        <w:t xml:space="preserve">Establishment of system. </w:t>
      </w:r>
      <w:r>
        <w:rPr>
          <w:rFonts w:ascii="Times New Roman" w:hAnsi="Times New Roman"/>
          <w:b w:val="false"/>
          <w:i w:val="false"/>
          <w:color w:val="000000"/>
          <w:sz w:val="22"/>
        </w:rPr>
        <w:t xml:space="preserve">The Iowa department of public safety peace officers’ retirement, accident, and disability system is established by Iowa Code chapter </w:t>
      </w:r>
      <w:hyperlink r:id="rId5">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The administrative rules governing the system are found in this chapter and in </w:t>
      </w:r>
      <w:hyperlink r:id="rId6">
        <w:r>
          <w:rPr>
            <w:rStyle w:val="Hyperlink"/>
            <w:rFonts w:ascii="Times New Roman" w:hAnsi="Times New Roman"/>
            <w:b w:val="false"/>
            <w:i w:val="false"/>
            <w:color w:val="000000"/>
            <w:sz w:val="22"/>
          </w:rPr>
          <w:t>661—Chapters 401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402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661—400.2</w:t>
      </w:r>
      <w:r>
        <w:rPr>
          <w:rFonts w:ascii="Times New Roman" w:hAnsi="Times New Roman"/>
          <w:b/>
          <w:i w:val="false"/>
          <w:color w:val="000000"/>
          <w:sz w:val="22"/>
        </w:rPr>
        <w:t xml:space="preserve">(97A)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w:t>
      </w:r>
      <w:hyperlink r:id="rId9">
        <w:r>
          <w:rPr>
            <w:rStyle w:val="Hyperlink"/>
            <w:rFonts w:ascii="Times New Roman" w:hAnsi="Times New Roman"/>
            <w:b w:val="false"/>
            <w:i w:val="false"/>
            <w:color w:val="000000"/>
            <w:sz w:val="22"/>
          </w:rPr>
          <w:t>661—Chapters 400</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member,” “actively engaged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“member in service” </w:t>
      </w:r>
      <w:r>
        <w:rPr>
          <w:rFonts w:ascii="Times New Roman" w:hAnsi="Times New Roman"/>
          <w:b w:val="false"/>
          <w:i w:val="false"/>
          <w:color w:val="000000"/>
          <w:sz w:val="22"/>
        </w:rPr>
        <w:t xml:space="preserve">means a currently employed peace officer of the Iowa department of public safety who is not reemployed pursuant to Iowa Code section </w:t>
      </w:r>
      <w:hyperlink r:id="rId11">
        <w:r>
          <w:rPr>
            <w:rStyle w:val="Hyperlink"/>
            <w:rFonts w:ascii="Times New Roman" w:hAnsi="Times New Roman"/>
            <w:b w:val="false"/>
            <w:i w:val="false"/>
            <w:color w:val="000000"/>
            <w:sz w:val="22"/>
          </w:rPr>
          <w:t>97A.3, subsection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trustees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the Iowa department of public safety who also serves as the chairperson of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“Line-of-duty death” </w:t>
      </w:r>
      <w:r>
        <w:rPr>
          <w:rFonts w:ascii="Times New Roman" w:hAnsi="Times New Roman"/>
          <w:b w:val="false"/>
          <w:i w:val="false"/>
          <w:color w:val="000000"/>
          <w:sz w:val="22"/>
        </w:rPr>
        <w:t xml:space="preserve">means the death of a member in service which was the direct and proximate result of a traumatic personal injury incurred in the line of duty. Line-of-duty death does not include the death of a member which resulted from stress, strain, occupational illness, or a chronic, progressive, or congenital illness, including, but not limited to, a disease of the heart, lungs, or respiratory system, unless a traumatic personal injury was a substantial contributing factor to the member’s death. Line-of-duty death does not include the death of a member if the death results in eligibility for payment of a line-of-duty death benefit pursuant to Iowa Code section </w:t>
      </w:r>
      <w:hyperlink r:id="rId12">
        <w:r>
          <w:rPr>
            <w:rStyle w:val="Hyperlink"/>
            <w:rFonts w:ascii="Times New Roman" w:hAnsi="Times New Roman"/>
            <w:b w:val="false"/>
            <w:i w:val="false"/>
            <w:color w:val="000000"/>
            <w:sz w:val="22"/>
          </w:rPr>
          <w:t>100B.11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661—Chapter 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attention” </w:t>
      </w:r>
      <w:r>
        <w:rPr>
          <w:rFonts w:ascii="Times New Roman" w:hAnsi="Times New Roman"/>
          <w:b w:val="false"/>
          <w:i w:val="false"/>
          <w:color w:val="000000"/>
          <w:sz w:val="22"/>
        </w:rPr>
        <w:t>means services provided by licensed medical personnel including, but not limited to, office, hospital, in-home nursing care, nursing home care, long-term care and prescriptions for medicine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board” </w:t>
      </w:r>
      <w:r>
        <w:rPr>
          <w:rFonts w:ascii="Times New Roman" w:hAnsi="Times New Roman"/>
          <w:b w:val="false"/>
          <w:i w:val="false"/>
          <w:color w:val="000000"/>
          <w:sz w:val="22"/>
        </w:rPr>
        <w:t xml:space="preserve">means a board of three physicians appointed by the board of trustees pursuant to Iowa Code section </w:t>
      </w:r>
      <w:hyperlink r:id="rId14">
        <w:r>
          <w:rPr>
            <w:rStyle w:val="Hyperlink"/>
            <w:rFonts w:ascii="Times New Roman" w:hAnsi="Times New Roman"/>
            <w:b w:val="false"/>
            <w:i w:val="false"/>
            <w:color w:val="000000"/>
            <w:sz w:val="22"/>
          </w:rPr>
          <w:t>97A.5, subsection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“Peace officers’ retirement system,” </w:t>
      </w:r>
      <w:r>
        <w:rPr>
          <w:rFonts w:ascii="Times New Roman" w:hAnsi="Times New Roman"/>
          <w:b w:val="false"/>
          <w:i w:val="false"/>
          <w:color w:val="000000"/>
          <w:sz w:val="22"/>
        </w:rPr>
        <w:t xml:space="preserve">also referred to as </w:t>
      </w:r>
      <w:r>
        <w:rPr>
          <w:rFonts w:ascii="Times New Roman" w:hAnsi="Times New Roman"/>
          <w:b w:val="false"/>
          <w:i/>
          <w:color w:val="000000"/>
          <w:sz w:val="22"/>
        </w:rPr>
        <w:t>“the system,”</w:t>
      </w:r>
      <w:r>
        <w:rPr>
          <w:rFonts w:ascii="Times New Roman" w:hAnsi="Times New Roman"/>
          <w:b w:val="false"/>
          <w:i w:val="false"/>
          <w:color w:val="000000"/>
          <w:sz w:val="22"/>
        </w:rPr>
        <w:t xml:space="preserve"> means the Iowa department of public safety peace officers’ retirement, accident, and disability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“Retired member” </w:t>
      </w:r>
      <w:r>
        <w:rPr>
          <w:rFonts w:ascii="Times New Roman" w:hAnsi="Times New Roman"/>
          <w:b w:val="false"/>
          <w:i w:val="false"/>
          <w:color w:val="000000"/>
          <w:sz w:val="22"/>
        </w:rPr>
        <w:t>means a person formerly employed as a peace officer of the Iowa department of public safety who is currently receiving or has received pension benefits from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an employee of the administrative services division of the Iowa department of public safety designated by the division director to provide staff support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w:t>
      </w:r>
      <w:r>
        <w:rPr>
          <w:rFonts w:ascii="Times New Roman" w:hAnsi="Times New Roman"/>
          <w:b w:val="false"/>
          <w:i w:val="false"/>
          <w:color w:val="000000"/>
          <w:sz w:val="22"/>
        </w:rPr>
        <w:t>means the Iowa department of public safety peace officers’ retirement, accident, and disability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661—400.3</w:t>
      </w:r>
      <w:r>
        <w:rPr>
          <w:rFonts w:ascii="Times New Roman" w:hAnsi="Times New Roman"/>
          <w:b/>
          <w:i w:val="false"/>
          <w:color w:val="000000"/>
          <w:sz w:val="22"/>
        </w:rPr>
        <w:t xml:space="preserve">(97A) </w:t>
      </w:r>
      <w:r>
        <w:rPr>
          <w:rFonts w:ascii="Times New Roman" w:hAnsi="Times New Roman"/>
          <w:b/>
          <w:i w:val="false"/>
          <w:color w:val="000000"/>
          <w:sz w:val="22"/>
        </w:rPr>
        <w:t xml:space="preserve">Governance. </w:t>
      </w:r>
      <w:r>
        <w:rPr>
          <w:rFonts w:ascii="Times New Roman" w:hAnsi="Times New Roman"/>
          <w:b w:val="false"/>
          <w:i w:val="false"/>
          <w:color w:val="000000"/>
          <w:sz w:val="22"/>
        </w:rPr>
        <w:t xml:space="preserve">The system is governed by a board of trustees, appointed and elected as provided in Iowa Code section </w:t>
      </w:r>
      <w:hyperlink r:id="rId15">
        <w:r>
          <w:rPr>
            <w:rStyle w:val="Hyperlink"/>
            <w:rFonts w:ascii="Times New Roman" w:hAnsi="Times New Roman"/>
            <w:b w:val="false"/>
            <w:i w:val="false"/>
            <w:color w:val="000000"/>
            <w:sz w:val="22"/>
          </w:rPr>
          <w:t>97A.5, subsection 1</w:t>
        </w:r>
      </w:hyperlink>
      <w:r>
        <w:rPr>
          <w:rFonts w:ascii="Times New Roman" w:hAnsi="Times New Roman"/>
          <w:b w:val="false"/>
          <w:i w:val="false"/>
          <w:color w:val="000000"/>
          <w:sz w:val="22"/>
        </w:rPr>
        <w:t>. The board of trustees shall have five members, including the commissioner of public safety, who shall serve as chairperson of the board, the treasurer of state, an actively engaged member of the system, a retired member of the system, and a person appointed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400.3(1)</w:t>
      </w:r>
      <w:r>
        <w:rPr>
          <w:rFonts w:ascii="Times New Roman" w:hAnsi="Times New Roman"/>
          <w:b w:val="false"/>
          <w:i w:val="false"/>
          <w:color w:val="000000"/>
          <w:sz w:val="22"/>
        </w:rPr>
        <w:t> </w:t>
      </w:r>
      <w:r>
        <w:rPr>
          <w:rFonts w:ascii="Times New Roman" w:hAnsi="Times New Roman"/>
          <w:b w:val="false"/>
          <w:i/>
          <w:color w:val="000000"/>
          <w:sz w:val="22"/>
        </w:rPr>
        <w:t xml:space="preserve">Terms of office. </w:t>
      </w:r>
      <w:r>
        <w:rPr>
          <w:rFonts w:ascii="Times New Roman" w:hAnsi="Times New Roman"/>
          <w:b w:val="false"/>
          <w:i w:val="false"/>
          <w:color w:val="000000"/>
          <w:sz w:val="22"/>
        </w:rPr>
        <w:t>Terms of office of members of the board of trustees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of public safety shall serve a term that is concurrent with appointment as commissioner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treasurer of state shall serve a term that is concurrent with the term of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actively engaged member of the system shall serve a two-year term commencing on July 1 of an odd-numbered year and terminating on June 30 of the next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retired member of the system shall serve a two-year term commencing on July 1 of an even-numbered year and terminating on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appointed by the governor shall serve a two-year term commencing on May 1 of the year of appointment and terminating on April 30 in the year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400.3(2)</w:t>
      </w:r>
      <w:r>
        <w:rPr>
          <w:rFonts w:ascii="Times New Roman" w:hAnsi="Times New Roman"/>
          <w:b w:val="false"/>
          <w:i w:val="false"/>
          <w:color w:val="000000"/>
          <w:sz w:val="22"/>
        </w:rPr>
        <w:t> </w:t>
      </w:r>
      <w:r>
        <w:rPr>
          <w:rFonts w:ascii="Times New Roman" w:hAnsi="Times New Roman"/>
          <w:b w:val="false"/>
          <w:i/>
          <w:color w:val="000000"/>
          <w:sz w:val="22"/>
        </w:rPr>
        <w:t xml:space="preserve">Election of board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actively engaged member shall be elected by secret ballot of the actively engaged members of the system. The retired member shall be elected by secret ballot of the retired members of the system. The actively engaged member shall be elected in odd-numbered years, and the retired member shall be elected in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90 days prior to the start of the term of office for the actively engaged member or the retired member, the secretary shall distribute by regular mail a write-in nomination ballot to each member of the system who is eligible to vote. The deadline for return of the ballots shall be established by the secretary at no less than 30 days nor more than 35 days after the date of distribution of the ballots and shall be printed on each ballot. In order to record a nomination, a member shall return the nomination ballot with a postmark or by personal delivery prior to the deadline specified on the ballot, filled in with the name of the member whom the member casting the ballot wishes to nominate.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secretary shall contact each of the nominees who receive the three highest numbers of nominations to determine if each nominee is willing to serve if elected. For each nominee contacted who is unwilling to serve, the secretary shall contact the next nominee in descending order of nominations until three nominees willing to serve are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of those three eligible members willing to serve if elected who receive the highest number of write-in nominations shall be placed on an election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secretary shall distribute by regular mail election ballots to the members of the system who are eligible to vote. The deadline for return of the ballots shall be established by the secretary at no less than 30 days nor more than 35 days after the date of distribution of the ballots and shall be printed on each ballot. Any eligible member who receives a ballot and wishes to vote shall return the ballot to the secretary with a postmark or by personal delivery prior to the deadline printed on the ballot with a choice of one of the three candidates listed indicated. The candidate who receives the highest number of votes shall serve as the actively engaged member or the retired member of the system on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event that two of the three candidates tie with the highest number of votes, a new election ballot with the names of the two candidates who tied shall be distributed by regular mail by the secretary to all members who are eligible to vote. The deadline for return of the ballots shall be established by the secretary at no less than 30 days nor more than 35 days after the date of distribution of the ballots and shall be printed on each ballot. Any eligible member who wishes to vote shall return the ballot to the secretary prior to the deadline with the member’s preference indicated. The candidate who receives the highest number of votes shall serve as the actively engaged member or the retired member on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the event that all three candidates receive the same number of votes in the initial election balloting or that the two remaining candidates receive the same number of votes in an election held to break a tie between two candidates, the selection of the board member shall be determined by drawing of lots under the supervision of the commissioner of public safety, acting as chairperson of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400.3(3)</w:t>
      </w:r>
      <w:r>
        <w:rPr>
          <w:rFonts w:ascii="Times New Roman" w:hAnsi="Times New Roman"/>
          <w:b w:val="false"/>
          <w:i w:val="false"/>
          <w:color w:val="000000"/>
          <w:sz w:val="22"/>
        </w:rPr>
        <w:t> </w:t>
      </w:r>
      <w:r>
        <w:rPr>
          <w:rFonts w:ascii="Times New Roman" w:hAnsi="Times New Roman"/>
          <w:b w:val="false"/>
          <w:i/>
          <w:color w:val="000000"/>
          <w:sz w:val="22"/>
        </w:rPr>
        <w:t xml:space="preserve">Vacancies. </w:t>
      </w:r>
      <w:r>
        <w:rPr>
          <w:rFonts w:ascii="Times New Roman" w:hAnsi="Times New Roman"/>
          <w:b w:val="false"/>
          <w:i w:val="false"/>
          <w:color w:val="000000"/>
          <w:sz w:val="22"/>
        </w:rPr>
        <w:t>A vacancy in a position held by an elected member shall be filled in the same manner as the original election, and the newly elected member shall serve for the balance of the original term for the position filled.</w:t>
      </w:r>
    </w:p>
    <w:p>
      <w:pPr>
        <w:spacing w:before="210" w:after="0"/>
        <w:ind w:left="120"/>
        <w:jc w:val="both"/>
      </w:pPr>
      <w:r>
        <w:rPr>
          <w:rFonts w:ascii="Times New Roman" w:hAnsi="Times New Roman"/>
          <w:b/>
          <w:i w:val="false"/>
          <w:color w:val="000000"/>
          <w:sz w:val="22"/>
        </w:rPr>
        <w:t>661—400.4</w:t>
      </w:r>
      <w:r>
        <w:rPr>
          <w:rFonts w:ascii="Times New Roman" w:hAnsi="Times New Roman"/>
          <w:b/>
          <w:i w:val="false"/>
          <w:color w:val="000000"/>
          <w:sz w:val="22"/>
        </w:rPr>
        <w:t xml:space="preserve">(97A) </w:t>
      </w:r>
      <w:r>
        <w:rPr>
          <w:rFonts w:ascii="Times New Roman" w:hAnsi="Times New Roman"/>
          <w:b/>
          <w:i w:val="false"/>
          <w:color w:val="000000"/>
          <w:sz w:val="22"/>
        </w:rPr>
        <w:t xml:space="preserve">Meetings of board of trustees. </w:t>
      </w:r>
      <w:r>
        <w:rPr>
          <w:rFonts w:ascii="Times New Roman" w:hAnsi="Times New Roman"/>
          <w:b w:val="false"/>
          <w:i w:val="false"/>
          <w:color w:val="000000"/>
          <w:sz w:val="22"/>
        </w:rPr>
        <w:t>The board of trustees shall meet at least quarterly, or upon the call of the chairperson. A quorum of the board shall consist of three members, and three concurring votes shall be necessary for a decision by the board. For purposes of a quorum or for voting, a member may participate in person, by audio conference or by videoconference.</w:t>
      </w:r>
    </w:p>
    <w:p>
      <w:pPr>
        <w:spacing w:before="210" w:after="0"/>
        <w:ind w:left="120"/>
        <w:jc w:val="both"/>
      </w:pPr>
      <w:r>
        <w:rPr>
          <w:rFonts w:ascii="Times New Roman" w:hAnsi="Times New Roman"/>
          <w:b/>
          <w:i w:val="false"/>
          <w:color w:val="000000"/>
          <w:sz w:val="22"/>
        </w:rPr>
        <w:t>661—400.5</w:t>
      </w:r>
      <w:r>
        <w:rPr>
          <w:rFonts w:ascii="Times New Roman" w:hAnsi="Times New Roman"/>
          <w:b/>
          <w:i w:val="false"/>
          <w:color w:val="000000"/>
          <w:sz w:val="22"/>
        </w:rPr>
        <w:t xml:space="preserve">(97A) </w:t>
      </w:r>
      <w:r>
        <w:rPr>
          <w:rFonts w:ascii="Times New Roman" w:hAnsi="Times New Roman"/>
          <w:b/>
          <w:i w:val="false"/>
          <w:color w:val="000000"/>
          <w:sz w:val="22"/>
        </w:rPr>
        <w:t xml:space="preserve">Administrative support. </w:t>
      </w:r>
      <w:r>
        <w:rPr>
          <w:rFonts w:ascii="Times New Roman" w:hAnsi="Times New Roman"/>
          <w:b w:val="false"/>
          <w:i w:val="false"/>
          <w:color w:val="000000"/>
          <w:sz w:val="22"/>
        </w:rPr>
        <w:t>The department provides administrative support to the system, through the administrative services division. The secretary shall be an employee of the department. Employees of the system shall be under the administrative supervision of the director of the administrative services division. Additional administrative support may be provided by other employees of the department at the direction of the commissioner of public safety.</w:t>
      </w:r>
    </w:p>
    <w:p>
      <w:pPr>
        <w:spacing w:before="0" w:after="0"/>
        <w:ind w:left="120"/>
        <w:jc w:val="both"/>
      </w:pPr>
      <w:r>
        <w:rPr>
          <w:rFonts w:ascii="Times New Roman" w:hAnsi="Times New Roman"/>
          <w:b/>
          <w:i w:val="false"/>
          <w:color w:val="000000"/>
          <w:sz w:val="22"/>
        </w:rPr>
        <w:t>661—400.6</w:t>
      </w:r>
      <w:r>
        <w:rPr>
          <w:rFonts w:ascii="Times New Roman" w:hAnsi="Times New Roman"/>
          <w:b/>
          <w:i w:val="false"/>
          <w:color w:val="000000"/>
          <w:sz w:val="22"/>
        </w:rPr>
        <w:t xml:space="preserve">(97A) </w:t>
      </w:r>
      <w:r>
        <w:rPr>
          <w:rFonts w:ascii="Times New Roman" w:hAnsi="Times New Roman"/>
          <w:b/>
          <w:i w:val="false"/>
          <w:color w:val="000000"/>
          <w:sz w:val="22"/>
        </w:rPr>
        <w:t xml:space="preserve">Forms and information. </w:t>
      </w:r>
      <w:r>
        <w:rPr>
          <w:rFonts w:ascii="Times New Roman" w:hAnsi="Times New Roman"/>
          <w:b w:val="false"/>
          <w:i w:val="false"/>
          <w:color w:val="000000"/>
          <w:sz w:val="22"/>
        </w:rPr>
        <w:t>Persons who wish to obtain forms or information about the peace officers’ retirement, accident, and disability system shall address requests to:</w:t>
      </w:r>
    </w:p>
    <w:p>
      <w:pPr>
        <w:spacing w:before="0" w:after="0"/>
        <w:ind w:left="324"/>
        <w:jc w:val="both"/>
      </w:pPr>
      <w:r>
        <w:rPr>
          <w:rFonts w:ascii="Times New Roman" w:hAnsi="Times New Roman"/>
          <w:b w:val="false"/>
          <w:i w:val="false"/>
          <w:color w:val="000000"/>
          <w:sz w:val="22"/>
        </w:rPr>
        <w:t>Peace Officers’ Retirement System</w:t>
      </w:r>
    </w:p>
    <w:p>
      <w:pPr>
        <w:spacing w:before="0" w:after="0"/>
        <w:ind w:left="324"/>
        <w:jc w:val="both"/>
      </w:pPr>
      <w:r>
        <w:rPr>
          <w:rFonts w:ascii="Times New Roman" w:hAnsi="Times New Roman"/>
          <w:b w:val="false"/>
          <w:i w:val="false"/>
          <w:color w:val="000000"/>
          <w:sz w:val="22"/>
        </w:rPr>
        <w:t>Iowa Department of Public Safety</w:t>
      </w:r>
    </w:p>
    <w:p>
      <w:pPr>
        <w:spacing w:before="0" w:after="0"/>
        <w:ind w:left="324"/>
        <w:jc w:val="both"/>
      </w:pPr>
      <w:r>
        <w:rPr>
          <w:rFonts w:ascii="Times New Roman" w:hAnsi="Times New Roman"/>
          <w:b w:val="false"/>
          <w:i w:val="false"/>
          <w:color w:val="000000"/>
          <w:sz w:val="22"/>
        </w:rPr>
        <w:t xml:space="preserve">State Public Safety Headquarters Building </w:t>
      </w:r>
    </w:p>
    <w:p>
      <w:pPr>
        <w:spacing w:before="0" w:after="0"/>
        <w:ind w:left="324"/>
        <w:jc w:val="both"/>
      </w:pPr>
      <w:r>
        <w:rPr>
          <w:rFonts w:ascii="Times New Roman" w:hAnsi="Times New Roman"/>
          <w:b w:val="false"/>
          <w:i w:val="false"/>
          <w:color w:val="000000"/>
          <w:sz w:val="22"/>
        </w:rPr>
        <w:t xml:space="preserve">215 East 7th Street </w:t>
      </w:r>
    </w:p>
    <w:p>
      <w:pPr>
        <w:spacing w:before="0" w:after="0"/>
        <w:ind w:left="324"/>
        <w:jc w:val="both"/>
      </w:pPr>
      <w:r>
        <w:rPr>
          <w:rFonts w:ascii="Times New Roman" w:hAnsi="Times New Roman"/>
          <w:b w:val="false"/>
          <w:i w:val="false"/>
          <w:color w:val="000000"/>
          <w:sz w:val="22"/>
        </w:rPr>
        <w:t>Des Moines, Iowa 50319</w:t>
      </w:r>
    </w:p>
    <w:p>
      <w:pPr>
        <w:spacing w:before="0" w:after="0"/>
        <w:ind w:left="324"/>
        <w:jc w:val="both"/>
      </w:pPr>
      <w:r>
        <w:rPr>
          <w:rFonts w:ascii="Times New Roman" w:hAnsi="Times New Roman"/>
          <w:b w:val="false"/>
          <w:i w:val="false"/>
          <w:color w:val="000000"/>
          <w:sz w:val="22"/>
        </w:rPr>
        <w:t>(515)725-6248</w:t>
      </w:r>
    </w:p>
    <w:p>
      <w:pPr>
        <w:spacing w:before="0" w:after="0"/>
        <w:ind w:left="324"/>
        <w:jc w:val="both"/>
      </w:pPr>
      <w:r>
        <w:rPr>
          <w:rFonts w:ascii="Times New Roman" w:hAnsi="Times New Roman"/>
          <w:b w:val="false"/>
          <w:i w:val="false"/>
          <w:color w:val="000000"/>
          <w:sz w:val="22"/>
          <w:u w:val="single"/>
        </w:rPr>
        <w:t>asdinfo@dps.state.ia.us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661—400.7</w:t>
      </w:r>
      <w:r>
        <w:rPr>
          <w:rFonts w:ascii="Times New Roman" w:hAnsi="Times New Roman"/>
          <w:b/>
          <w:i w:val="false"/>
          <w:color w:val="000000"/>
          <w:sz w:val="22"/>
        </w:rPr>
        <w:t xml:space="preserve">(97A) </w:t>
      </w:r>
      <w:r>
        <w:rPr>
          <w:rFonts w:ascii="Times New Roman" w:hAnsi="Times New Roman"/>
          <w:b/>
          <w:i w:val="false"/>
          <w:color w:val="000000"/>
          <w:sz w:val="22"/>
        </w:rPr>
        <w:t xml:space="preserve">Annual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400.7(1)</w:t>
      </w:r>
      <w:r>
        <w:rPr>
          <w:rFonts w:ascii="Times New Roman" w:hAnsi="Times New Roman"/>
          <w:b w:val="false"/>
          <w:i w:val="false"/>
          <w:color w:val="000000"/>
          <w:sz w:val="22"/>
        </w:rPr>
        <w:t> </w:t>
      </w:r>
      <w:r>
        <w:rPr>
          <w:rFonts w:ascii="Times New Roman" w:hAnsi="Times New Roman"/>
          <w:b w:val="false"/>
          <w:i w:val="false"/>
          <w:color w:val="000000"/>
          <w:sz w:val="22"/>
        </w:rPr>
        <w:t>As soon as practical after the close of each fiscal year, a statement of account shall be furnished to each actively engaged member, which shall include the member’s contribution for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400.7(2)</w:t>
      </w:r>
      <w:r>
        <w:rPr>
          <w:rFonts w:ascii="Times New Roman" w:hAnsi="Times New Roman"/>
          <w:b w:val="false"/>
          <w:i w:val="false"/>
          <w:color w:val="000000"/>
          <w:sz w:val="22"/>
        </w:rPr>
        <w:t> </w:t>
      </w:r>
      <w:r>
        <w:rPr>
          <w:rFonts w:ascii="Times New Roman" w:hAnsi="Times New Roman"/>
          <w:b w:val="false"/>
          <w:i w:val="false"/>
          <w:color w:val="000000"/>
          <w:sz w:val="22"/>
        </w:rPr>
        <w:t>As soon as practical after the end of a calendar year, and in any event within any deadlines for this purpose established by the Internal Revenue Service or the Iowa department of revenue, a Form 1099, W2-P or an equivalent shall be prepared for and mailed to each person who received benefits during the year. The form shall detail the total pension paid during the year and shall comply with any applicable requirements established by the Internal Revenue Service and the Iowa department of revenue.</w:t>
      </w:r>
    </w:p>
    <w:p>
      <w:pPr>
        <w:spacing w:before="0" w:after="0"/>
        <w:ind w:left="120"/>
        <w:jc w:val="both"/>
      </w:pPr>
      <w:r>
        <w:rPr>
          <w:rFonts w:ascii="Times New Roman" w:hAnsi="Times New Roman"/>
          <w:b/>
          <w:i w:val="false"/>
          <w:color w:val="000000"/>
          <w:sz w:val="22"/>
        </w:rPr>
        <w:t>661—400.8</w:t>
      </w:r>
      <w:r>
        <w:rPr>
          <w:rFonts w:ascii="Times New Roman" w:hAnsi="Times New Roman"/>
          <w:b/>
          <w:i w:val="false"/>
          <w:color w:val="000000"/>
          <w:sz w:val="22"/>
        </w:rPr>
        <w:t xml:space="preserve">(97A) </w:t>
      </w:r>
      <w:r>
        <w:rPr>
          <w:rFonts w:ascii="Times New Roman" w:hAnsi="Times New Roman"/>
          <w:b/>
          <w:i w:val="false"/>
          <w:color w:val="000000"/>
          <w:sz w:val="22"/>
        </w:rPr>
        <w:t xml:space="preserve">Books of account. </w:t>
      </w:r>
      <w:r>
        <w:rPr>
          <w:rFonts w:ascii="Times New Roman" w:hAnsi="Times New Roman"/>
          <w:b w:val="false"/>
          <w:i w:val="false"/>
          <w:color w:val="000000"/>
          <w:sz w:val="22"/>
        </w:rPr>
        <w:t>The following books of account shall be maintained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400.8(1)</w:t>
      </w:r>
      <w:r>
        <w:rPr>
          <w:rFonts w:ascii="Times New Roman" w:hAnsi="Times New Roman"/>
          <w:b w:val="false"/>
          <w:i w:val="false"/>
          <w:color w:val="000000"/>
          <w:sz w:val="22"/>
        </w:rPr>
        <w:t> </w:t>
      </w:r>
      <w:r>
        <w:rPr>
          <w:rFonts w:ascii="Times New Roman" w:hAnsi="Times New Roman"/>
          <w:b w:val="false"/>
          <w:i w:val="false"/>
          <w:color w:val="000000"/>
          <w:sz w:val="22"/>
        </w:rPr>
        <w:t>Self-balancing combination journal that records all receipts, disbursements and necessary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400.8(2)</w:t>
      </w:r>
      <w:r>
        <w:rPr>
          <w:rFonts w:ascii="Times New Roman" w:hAnsi="Times New Roman"/>
          <w:b w:val="false"/>
          <w:i w:val="false"/>
          <w:color w:val="000000"/>
          <w:sz w:val="22"/>
        </w:rPr>
        <w:t> </w:t>
      </w:r>
      <w:r>
        <w:rPr>
          <w:rFonts w:ascii="Times New Roman" w:hAnsi="Times New Roman"/>
          <w:b w:val="false"/>
          <w:i w:val="false"/>
          <w:color w:val="000000"/>
          <w:sz w:val="22"/>
        </w:rPr>
        <w:t>Self-balancing ledger of control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400.8(3)</w:t>
      </w:r>
      <w:r>
        <w:rPr>
          <w:rFonts w:ascii="Times New Roman" w:hAnsi="Times New Roman"/>
          <w:b w:val="false"/>
          <w:i w:val="false"/>
          <w:color w:val="000000"/>
          <w:sz w:val="22"/>
        </w:rPr>
        <w:t> </w:t>
      </w:r>
      <w:r>
        <w:rPr>
          <w:rFonts w:ascii="Times New Roman" w:hAnsi="Times New Roman"/>
          <w:b w:val="false"/>
          <w:i w:val="false"/>
          <w:color w:val="000000"/>
          <w:sz w:val="22"/>
        </w:rPr>
        <w:t>Schedules at the close of the fiscal year which shall detail all control accounts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Pension reserve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Pension accumulation account.</w:t>
      </w:r>
    </w:p>
    <w:p>
      <w:pPr>
        <w:spacing w:before="210" w:after="0"/>
        <w:ind w:left="120"/>
        <w:jc w:val="both"/>
      </w:pPr>
      <w:r>
        <w:rPr>
          <w:rFonts w:ascii="Times New Roman" w:hAnsi="Times New Roman"/>
          <w:b/>
          <w:i w:val="false"/>
          <w:color w:val="000000"/>
          <w:sz w:val="22"/>
        </w:rPr>
        <w:t>661—400.9</w:t>
      </w:r>
      <w:r>
        <w:rPr>
          <w:rFonts w:ascii="Times New Roman" w:hAnsi="Times New Roman"/>
          <w:b/>
          <w:i w:val="false"/>
          <w:color w:val="000000"/>
          <w:sz w:val="22"/>
        </w:rPr>
        <w:t xml:space="preserve">(97A) </w:t>
      </w:r>
      <w:r>
        <w:rPr>
          <w:rFonts w:ascii="Times New Roman" w:hAnsi="Times New Roman"/>
          <w:b/>
          <w:i w:val="false"/>
          <w:color w:val="000000"/>
          <w:sz w:val="22"/>
        </w:rPr>
        <w:t xml:space="preserve">Investments. </w:t>
      </w:r>
      <w:r>
        <w:rPr>
          <w:rFonts w:ascii="Times New Roman" w:hAnsi="Times New Roman"/>
          <w:b w:val="false"/>
          <w:i w:val="false"/>
          <w:color w:val="000000"/>
          <w:sz w:val="22"/>
        </w:rPr>
        <w:t>Investments of assets of the system shall be administered through the office of the treasurer of state. The board of trustees has the authority to direct the investment of funds, including, but not limited to, the execution of contracts with appropriately qualified individuals or firms to provide advice regarding investments.</w:t>
      </w:r>
    </w:p>
    <w:p>
      <w:pPr>
        <w:spacing w:before="0" w:after="0"/>
        <w:ind w:left="120"/>
        <w:jc w:val="both"/>
      </w:pPr>
      <w:r>
        <w:rPr>
          <w:rFonts w:ascii="Times New Roman" w:hAnsi="Times New Roman"/>
          <w:b/>
          <w:i w:val="false"/>
          <w:color w:val="000000"/>
          <w:sz w:val="22"/>
        </w:rPr>
        <w:t>661—400.10</w:t>
      </w:r>
      <w:r>
        <w:rPr>
          <w:rFonts w:ascii="Times New Roman" w:hAnsi="Times New Roman"/>
          <w:b/>
          <w:i w:val="false"/>
          <w:color w:val="000000"/>
          <w:sz w:val="22"/>
        </w:rPr>
        <w:t xml:space="preserve">(97A) </w:t>
      </w:r>
      <w:r>
        <w:rPr>
          <w:rFonts w:ascii="Times New Roman" w:hAnsi="Times New Roman"/>
          <w:b/>
          <w:i w:val="false"/>
          <w:color w:val="000000"/>
          <w:sz w:val="22"/>
        </w:rPr>
        <w:t xml:space="preserve">Medical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400.10(1)</w:t>
      </w:r>
      <w:r>
        <w:rPr>
          <w:rFonts w:ascii="Times New Roman" w:hAnsi="Times New Roman"/>
          <w:b w:val="false"/>
          <w:i w:val="false"/>
          <w:color w:val="000000"/>
          <w:sz w:val="22"/>
        </w:rPr>
        <w:t> </w:t>
      </w:r>
      <w:r>
        <w:rPr>
          <w:rFonts w:ascii="Times New Roman" w:hAnsi="Times New Roman"/>
          <w:b w:val="false"/>
          <w:i w:val="false"/>
          <w:color w:val="000000"/>
          <w:sz w:val="22"/>
        </w:rPr>
        <w:t>The medical board shall consist of three physicians, including at least one occupational medicine specialist, with the knowledge and experience to adequately evaluate the fitness for duty of a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400.10(2)</w:t>
      </w:r>
      <w:r>
        <w:rPr>
          <w:rFonts w:ascii="Times New Roman" w:hAnsi="Times New Roman"/>
          <w:b w:val="false"/>
          <w:i w:val="false"/>
          <w:color w:val="000000"/>
          <w:sz w:val="22"/>
        </w:rPr>
        <w:t> </w:t>
      </w:r>
      <w:r>
        <w:rPr>
          <w:rFonts w:ascii="Times New Roman" w:hAnsi="Times New Roman"/>
          <w:b w:val="false"/>
          <w:i w:val="false"/>
          <w:color w:val="000000"/>
          <w:sz w:val="22"/>
        </w:rPr>
        <w:t>The board of trustees shall ratify the composition of the medical board and all subsequent changes to the composition of the medical board. The board of trustees may review the composition of the medical board at any time.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10/5/04, Notice 8/18/04—published 10/27/04, effective 12/1/04]</w:t>
      </w:r>
    </w:p>
    <w:p>
      <w:pPr>
        <w:spacing w:before="0" w:after="0"/>
        <w:ind w:left="120"/>
        <w:jc w:val="center"/>
      </w:pPr>
      <w:r>
        <w:rPr>
          <w:rFonts w:ascii="Times New Roman" w:hAnsi="Times New Roman"/>
          <w:b w:val="false"/>
          <w:i w:val="false"/>
          <w:color w:val="000000"/>
          <w:sz w:val="21"/>
        </w:rPr>
        <w:t>[Filed emergency 6/26/06—published 7/19/06, effective 7/1/06]</w:t>
      </w:r>
    </w:p>
    <w:p>
      <w:pPr>
        <w:spacing w:before="0" w:after="0"/>
        <w:ind w:left="120"/>
        <w:jc w:val="center"/>
      </w:pPr>
      <w:r>
        <w:rPr>
          <w:rFonts w:ascii="Times New Roman" w:hAnsi="Times New Roman"/>
          <w:b w:val="false"/>
          <w:i w:val="false"/>
          <w:color w:val="000000"/>
          <w:sz w:val="21"/>
        </w:rPr>
        <w:t>[Filed 9/20/06, Notice 7/19/06—published 10/11/06, effective 12/1/06]</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Emergency After Notice ARC 8935B</w:t>
      </w:r>
      <w:r>
        <w:rPr>
          <w:rFonts w:ascii="Times New Roman" w:hAnsi="Times New Roman"/>
          <w:b w:val="false"/>
          <w:i w:val="false"/>
          <w:color w:val="000000"/>
          <w:sz w:val="21"/>
        </w:rPr>
        <w:t xml:space="preserve"> (Notice ARC 8767B, IAB 5/19/10)</w:t>
      </w:r>
      <w:r>
        <w:rPr>
          <w:rFonts w:ascii="Times New Roman" w:hAnsi="Times New Roman"/>
          <w:b w:val="false"/>
          <w:i w:val="false"/>
          <w:color w:val="000000"/>
          <w:sz w:val="21"/>
        </w:rPr>
        <w:t>, IAB 7/14/10, effective 7/1/10]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A.pdf" Type="http://schemas.openxmlformats.org/officeDocument/2006/relationships/hyperlink" Id="rId5"/>
    <Relationship TargetMode="External" Target="https://www.legis.iowa.gov/docs/iac/chapter/661.401.pdf" Type="http://schemas.openxmlformats.org/officeDocument/2006/relationships/hyperlink" Id="rId6"/>
    <Relationship TargetMode="External" Target="https://www.legis.iowa.gov/docs/iac/chapter/661.402.pdf" Type="http://schemas.openxmlformats.org/officeDocument/2006/relationships/hyperlink" Id="rId7"/>
    <Relationship TargetMode="External" Target="https://www.legis.iowa.gov/docs/iac/chapter/661.403.pdf" Type="http://schemas.openxmlformats.org/officeDocument/2006/relationships/hyperlink" Id="rId8"/>
    <Relationship TargetMode="External" Target="https://www.legis.iowa.gov/docs/iac/chapter/661.400.pdf" Type="http://schemas.openxmlformats.org/officeDocument/2006/relationships/hyperlink" Id="rId9"/>
    <Relationship TargetMode="External" Target="https://www.legis.iowa.gov/docs/iac/chapter/661.403.pdf" Type="http://schemas.openxmlformats.org/officeDocument/2006/relationships/hyperlink" Id="rId10"/>
    <Relationship TargetMode="External" Target="https://www.legis.iowa.gov/docs/ico/chapter/97A.3.pdf" Type="http://schemas.openxmlformats.org/officeDocument/2006/relationships/hyperlink" Id="rId11"/>
    <Relationship TargetMode="External" Target="https://www.legis.iowa.gov/docs/ico/chapter/100B.11.pdf" Type="http://schemas.openxmlformats.org/officeDocument/2006/relationships/hyperlink" Id="rId12"/>
    <Relationship TargetMode="External" Target="https://www.legis.iowa.gov/docs/iac/chapter/661.291.pdf" Type="http://schemas.openxmlformats.org/officeDocument/2006/relationships/hyperlink" Id="rId13"/>
    <Relationship TargetMode="External" Target="https://www.legis.iowa.gov/docs/ico/chapter/97A.5.pdf" Type="http://schemas.openxmlformats.org/officeDocument/2006/relationships/hyperlink" Id="rId14"/>
    <Relationship TargetMode="External" Target="https://www.legis.iowa.gov/docs/ico/chapter/97A.5.pdf" Type="http://schemas.openxmlformats.org/officeDocument/2006/relationships/hyperlink" Id="rId15"/>
    <Relationship TargetMode="External" Target="https://www.legis.iowa.gov/docs/ico/chapter/97A.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