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28</w:t>
      </w:r>
    </w:p>
    <w:p>
      <w:pPr>
        <w:spacing w:before="0" w:after="0"/>
        <w:ind w:left="120"/>
        <w:jc w:val="center"/>
      </w:pPr>
      <w:r>
        <w:rPr>
          <w:rFonts w:ascii="Times New Roman" w:hAnsi="Times New Roman"/>
          <w:b w:val="false"/>
          <w:i w:val="false"/>
          <w:color w:val="000000"/>
          <w:sz w:val="21"/>
        </w:rPr>
        <w:t>MARIJUANA ERADICATION PROCEDURES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2/25/31</w:t>
      </w:r>
    </w:p>
    <w:p>
      <w:pPr>
        <w:spacing w:before="0" w:after="0"/>
        <w:ind w:left="120"/>
        <w:jc w:val="both"/>
      </w:pPr>
      <w:r>
        <w:rPr>
          <w:rFonts w:ascii="Times New Roman" w:hAnsi="Times New Roman"/>
          <w:b/>
          <w:i w:val="false"/>
          <w:color w:val="000000"/>
          <w:sz w:val="22"/>
        </w:rPr>
        <w:t>661—28.1</w:t>
      </w:r>
      <w:r>
        <w:rPr>
          <w:rFonts w:ascii="Times New Roman" w:hAnsi="Times New Roman"/>
          <w:b/>
          <w:i w:val="false"/>
          <w:color w:val="000000"/>
          <w:sz w:val="22"/>
        </w:rPr>
        <w:t xml:space="preserve">(80) </w:t>
      </w:r>
      <w:r>
        <w:rPr>
          <w:rFonts w:ascii="Times New Roman" w:hAnsi="Times New Roman"/>
          <w:b/>
          <w:i w:val="false"/>
          <w:color w:val="000000"/>
          <w:sz w:val="22"/>
        </w:rPr>
        <w:t xml:space="preserve">Reports of marijuana. </w:t>
      </w:r>
      <w:r>
        <w:rPr>
          <w:rFonts w:ascii="Times New Roman" w:hAnsi="Times New Roman"/>
          <w:b w:val="false"/>
          <w:i w:val="false"/>
          <w:color w:val="000000"/>
          <w:sz w:val="22"/>
        </w:rPr>
        <w:t>Persons wishing to report marijuana growing in Iowa, whether cultivated or uncultivated, may contact any local law enforcement agency within the state of Iowa or the Division of Narcotics Enforcement by telephone through the toll-free Marijuana Hotline at 1.800.532.0052.</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0021D</w:t>
      </w:r>
      <w:r>
        <w:rPr>
          <w:rFonts w:ascii="Times New Roman" w:hAnsi="Times New Roman"/>
          <w:b w:val="false"/>
          <w:i w:val="false"/>
          <w:color w:val="000000"/>
          <w:sz w:val="16"/>
        </w:rPr>
        <w:t>, IAB 1/21/26, effective 2/25/26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661—28.2</w:t>
      </w:r>
      <w:r>
        <w:rPr>
          <w:rFonts w:ascii="Times New Roman" w:hAnsi="Times New Roman"/>
          <w:b/>
          <w:i w:val="false"/>
          <w:color w:val="000000"/>
          <w:sz w:val="22"/>
        </w:rPr>
        <w:t xml:space="preserve">(80) </w:t>
      </w:r>
      <w:r>
        <w:rPr>
          <w:rFonts w:ascii="Times New Roman" w:hAnsi="Times New Roman"/>
          <w:b/>
          <w:i w:val="false"/>
          <w:color w:val="000000"/>
          <w:sz w:val="22"/>
        </w:rPr>
        <w:t xml:space="preserve">Cultivated marijuana. </w:t>
      </w:r>
      <w:r>
        <w:rPr>
          <w:rFonts w:ascii="Times New Roman" w:hAnsi="Times New Roman"/>
          <w:b w:val="false"/>
          <w:i w:val="false"/>
          <w:color w:val="000000"/>
          <w:sz w:val="22"/>
        </w:rPr>
        <w:t xml:space="preserve">Upon receipt of information pertaining to marijuana cultivation or harvesting, the department of public safety, division of narcotics enforcement, may coordinate with the department of agriculture and land stewardship to investigate.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0021D</w:t>
      </w:r>
      <w:r>
        <w:rPr>
          <w:rFonts w:ascii="Times New Roman" w:hAnsi="Times New Roman"/>
          <w:b w:val="false"/>
          <w:i w:val="false"/>
          <w:color w:val="000000"/>
          <w:sz w:val="16"/>
        </w:rPr>
        <w:t>, IAB 1/21/26, effective 2/25/26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661—28.3</w:t>
      </w:r>
      <w:r>
        <w:rPr>
          <w:rFonts w:ascii="Times New Roman" w:hAnsi="Times New Roman"/>
          <w:b/>
          <w:i w:val="false"/>
          <w:color w:val="000000"/>
          <w:sz w:val="22"/>
        </w:rPr>
        <w:t xml:space="preserve">(80) </w:t>
      </w:r>
      <w:r>
        <w:rPr>
          <w:rFonts w:ascii="Times New Roman" w:hAnsi="Times New Roman"/>
          <w:b/>
          <w:i w:val="false"/>
          <w:color w:val="000000"/>
          <w:sz w:val="22"/>
        </w:rPr>
        <w:t xml:space="preserve">Uncultivated marijuana. </w:t>
      </w:r>
      <w:r>
        <w:rPr>
          <w:rFonts w:ascii="Times New Roman" w:hAnsi="Times New Roman"/>
          <w:b w:val="false"/>
          <w:i w:val="false"/>
          <w:color w:val="000000"/>
          <w:sz w:val="22"/>
        </w:rPr>
        <w:t>Upon receipt of information pertaining to wild uncultivated marijuana, the department of public safety, division of narcotics enforcement, will notify the county sheriff or chief of police of the report. After the sheriff has been notified, the department of public safety, division of narcotics enforcement, will notify, by regular mail, the owner of the land where uncultivated marijuana has been reported and will request that the landowner voluntarily remove the marijuana. Notification to a landowner of information regarding uncultivated marijuana growing on the landowner’s property, as provided in this rule, is intended to obtain voluntary cooperation in the eradication of marijuana. The county sheriff and the local police chief, if any, will be sent copies of the notice, also by regular mail.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0021D</w:t>
      </w:r>
      <w:r>
        <w:rPr>
          <w:rFonts w:ascii="Times New Roman" w:hAnsi="Times New Roman"/>
          <w:b w:val="false"/>
          <w:i w:val="false"/>
          <w:color w:val="000000"/>
          <w:sz w:val="16"/>
        </w:rPr>
        <w:t>, IAB 1/21/26, effective 2/25/26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661—28.4</w:t>
      </w:r>
      <w:r>
        <w:rPr>
          <w:rFonts w:ascii="Times New Roman" w:hAnsi="Times New Roman"/>
          <w:b/>
          <w:i w:val="false"/>
          <w:color w:val="000000"/>
          <w:sz w:val="22"/>
        </w:rPr>
        <w:t xml:space="preserve">(80) </w:t>
      </w:r>
      <w:r>
        <w:rPr>
          <w:rFonts w:ascii="Times New Roman" w:hAnsi="Times New Roman"/>
          <w:b/>
          <w:i w:val="false"/>
          <w:color w:val="000000"/>
          <w:sz w:val="22"/>
        </w:rPr>
        <w:t xml:space="preserve">Scope and limitation. </w:t>
      </w:r>
      <w:r>
        <w:rPr>
          <w:rFonts w:ascii="Times New Roman" w:hAnsi="Times New Roman"/>
          <w:b w:val="false"/>
          <w:i w:val="false"/>
          <w:color w:val="000000"/>
          <w:sz w:val="22"/>
        </w:rPr>
        <w:t>Nothing in this chapter shall be construed to be a restriction or limitation upon the nature or scope of the authority of any member of the department of public safety or of any other public officer as otherwise provided by law.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0021D</w:t>
      </w:r>
      <w:r>
        <w:rPr>
          <w:rFonts w:ascii="Times New Roman" w:hAnsi="Times New Roman"/>
          <w:b w:val="false"/>
          <w:i w:val="false"/>
          <w:color w:val="000000"/>
          <w:sz w:val="16"/>
        </w:rPr>
        <w:t>, IAB 1/21/26, effective 2/25/26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 These rules are intended to implement Iowa Code section </w:t>
      </w:r>
      <w:hyperlink r:id="rId5">
        <w:r>
          <w:rPr>
            <w:rStyle w:val="Hyperlink"/>
            <w:rFonts w:ascii="Times New Roman" w:hAnsi="Times New Roman"/>
            <w:b w:val="false"/>
            <w:i w:val="false"/>
            <w:color w:val="000000"/>
            <w:sz w:val="22"/>
          </w:rPr>
          <w:t>80.5</w:t>
        </w:r>
      </w:hyperlink>
      <w:r>
        <w:rPr>
          <w:rFonts w:ascii="Times New Roman" w:hAnsi="Times New Roman"/>
          <w:b w:val="false"/>
          <w:i w:val="false"/>
          <w:color w:val="000000"/>
          <w:sz w:val="22"/>
        </w:rPr>
        <w:t xml:space="preserve">. </w:t>
      </w:r>
    </w:p>
    <w:p>
      <w:pPr>
        <w:spacing w:before="0" w:after="0"/>
        <w:ind w:left="120"/>
        <w:jc w:val="center"/>
      </w:pPr>
      <w:r>
        <w:rPr>
          <w:rFonts w:ascii="Times New Roman" w:hAnsi="Times New Roman"/>
          <w:b w:val="false"/>
          <w:i w:val="false"/>
          <w:color w:val="000000"/>
          <w:sz w:val="21"/>
        </w:rPr>
        <w:t>[Filed 10/15/91, Notice 7/10/91—published 11/13/91, effective 1/1/92]</w:t>
      </w:r>
    </w:p>
    <w:p>
      <w:pPr>
        <w:spacing w:before="0" w:after="0"/>
        <w:ind w:left="120"/>
        <w:jc w:val="center"/>
      </w:pPr>
      <w:r>
        <w:rPr>
          <w:rFonts w:ascii="Times New Roman" w:hAnsi="Times New Roman"/>
          <w:b w:val="false"/>
          <w:i w:val="false"/>
          <w:color w:val="000000"/>
          <w:sz w:val="21"/>
        </w:rPr>
        <w:t>[Editorial change: IAC Supplement 6/17/09]</w:t>
      </w:r>
    </w:p>
    <w:p>
      <w:pPr>
        <w:spacing w:before="0" w:after="0"/>
        <w:ind w:left="120"/>
        <w:jc w:val="center"/>
      </w:pPr>
      <w:r>
        <w:rPr>
          <w:rFonts w:ascii="Times New Roman" w:hAnsi="Times New Roman"/>
          <w:b w:val="false"/>
          <w:i w:val="false"/>
          <w:color w:val="000000"/>
          <w:sz w:val="21"/>
        </w:rPr>
        <w:t>[Filed ARC 0021D</w:t>
      </w:r>
      <w:r>
        <w:rPr>
          <w:rFonts w:ascii="Times New Roman" w:hAnsi="Times New Roman"/>
          <w:b w:val="false"/>
          <w:i w:val="false"/>
          <w:color w:val="000000"/>
          <w:sz w:val="21"/>
        </w:rPr>
        <w:t xml:space="preserve"> (Notice ARC 9723C, IAB 11/26/25)</w:t>
      </w:r>
      <w:r>
        <w:rPr>
          <w:rFonts w:ascii="Times New Roman" w:hAnsi="Times New Roman"/>
          <w:b w:val="false"/>
          <w:i w:val="false"/>
          <w:color w:val="000000"/>
          <w:sz w:val="21"/>
        </w:rPr>
        <w:t>, IAB 1/21/26, effective 2/25/26]</w:t>
      </w:r>
    </w:p>
    <w:sectPr>
      <w:footerReference r:id="rId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80.5.pdf"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