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23</w:t>
      </w:r>
    </w:p>
    <w:p>
      <w:pPr>
        <w:spacing w:before="0" w:after="0"/>
        <w:ind w:left="120"/>
        <w:jc w:val="center"/>
      </w:pPr>
      <w:r>
        <w:rPr>
          <w:rFonts w:ascii="Times New Roman" w:hAnsi="Times New Roman"/>
          <w:b w:val="false"/>
          <w:i w:val="false"/>
          <w:color w:val="000000"/>
          <w:sz w:val="21"/>
        </w:rPr>
        <w:t>REFLECTIVE DEVICES ON SLOW-MOVING VEHICLES</w:t>
      </w:r>
    </w:p>
    <w:p>
      <w:pPr>
        <w:spacing w:before="0" w:after="0"/>
        <w:ind w:left="120"/>
        <w:jc w:val="center"/>
      </w:pPr>
      <w:r>
        <w:rPr>
          <w:rFonts w:ascii="Times New Roman" w:hAnsi="Times New Roman"/>
          <w:b w:val="false"/>
          <w:i w:val="false"/>
          <w:color w:val="000000"/>
          <w:sz w:val="14"/>
        </w:rPr>
        <w:t>[Appeared as Ch 3, Department of Public Safety, 1973 IDR]</w:t>
      </w:r>
    </w:p>
    <w:p>
      <w:pPr>
        <w:spacing w:before="0" w:after="0"/>
        <w:ind w:left="120"/>
        <w:jc w:val="center"/>
      </w:pPr>
      <w:r>
        <w:rPr>
          <w:rFonts w:ascii="Times New Roman" w:hAnsi="Times New Roman"/>
          <w:b w:val="false"/>
          <w:i w:val="false"/>
          <w:color w:val="000000"/>
          <w:sz w:val="14"/>
        </w:rPr>
        <w:t>[Prior to 6/3/87, Transportation Department[820]—(07,E) Ch 3]</w:t>
      </w:r>
    </w:p>
    <w:p>
      <w:pPr>
        <w:spacing w:before="0" w:after="0"/>
        <w:ind w:left="120"/>
        <w:jc w:val="center"/>
      </w:pPr>
      <w:r>
        <w:rPr>
          <w:rFonts w:ascii="Times New Roman" w:hAnsi="Times New Roman"/>
          <w:b w:val="false"/>
          <w:i w:val="false"/>
          <w:color w:val="000000"/>
          <w:sz w:val="14"/>
        </w:rPr>
        <w:t>[Prior to 8/7/24, see Transportation Department[761] Ch 452]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2/11/31</w:t>
      </w:r>
    </w:p>
    <w:p>
      <w:pPr>
        <w:spacing w:before="0" w:after="0"/>
        <w:ind w:left="120"/>
        <w:jc w:val="both"/>
      </w:pPr>
      <w:r>
        <w:rPr>
          <w:rFonts w:ascii="Times New Roman" w:hAnsi="Times New Roman"/>
          <w:b/>
          <w:i w:val="false"/>
          <w:color w:val="000000"/>
          <w:sz w:val="22"/>
        </w:rPr>
        <w:t>661—23.1</w:t>
      </w:r>
      <w:r>
        <w:rPr>
          <w:rFonts w:ascii="Times New Roman" w:hAnsi="Times New Roman"/>
          <w:b/>
          <w:i w:val="false"/>
          <w:color w:val="000000"/>
          <w:sz w:val="22"/>
        </w:rPr>
        <w:t xml:space="preserve">(321) </w:t>
      </w:r>
      <w:r>
        <w:rPr>
          <w:rFonts w:ascii="Times New Roman" w:hAnsi="Times New Roman"/>
          <w:b/>
          <w:i w:val="false"/>
          <w:color w:val="000000"/>
          <w:sz w:val="22"/>
        </w:rPr>
        <w:t xml:space="preserve">Alternative reflective device. </w:t>
      </w:r>
      <w:r>
        <w:rPr>
          <w:rFonts w:ascii="Times New Roman" w:hAnsi="Times New Roman"/>
          <w:b w:val="false"/>
          <w:i w:val="false"/>
          <w:color w:val="000000"/>
          <w:sz w:val="22"/>
        </w:rPr>
        <w:t>If a person operating a vehicle drawn by a horse or mule objects for religious reasons to using a reflective device that complies with the standards of the American Society of Agricultural Engineers, the vehicle may be identified by an alternative reflective device that is in compliance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w:t>
      </w:r>
      <w:r>
        <w:rPr>
          <w:rFonts w:ascii="Times New Roman" w:hAnsi="Times New Roman"/>
          <w:b w:val="false"/>
          <w:i w:val="false"/>
          <w:color w:val="000000"/>
          <w:sz w:val="22"/>
        </w:rPr>
        <w:t> </w:t>
      </w:r>
      <w:r>
        <w:rPr>
          <w:rFonts w:ascii="Times New Roman" w:hAnsi="Times New Roman"/>
          <w:b w:val="false"/>
          <w:i w:val="false"/>
          <w:color w:val="000000"/>
          <w:sz w:val="22"/>
        </w:rPr>
        <w:t>The alternative reflective device will consist of one-inch-wide strips applied to the rear of the vehicle. The combined length of the strips will be at least 72 inches, and the strips, when applied, will approximate the outline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23.1(2)</w:t>
      </w:r>
      <w:r>
        <w:rPr>
          <w:rFonts w:ascii="Times New Roman" w:hAnsi="Times New Roman"/>
          <w:b w:val="false"/>
          <w:i w:val="false"/>
          <w:color w:val="000000"/>
          <w:sz w:val="22"/>
        </w:rPr>
        <w:t> </w:t>
      </w:r>
      <w:r>
        <w:rPr>
          <w:rFonts w:ascii="Times New Roman" w:hAnsi="Times New Roman"/>
          <w:b w:val="false"/>
          <w:i w:val="false"/>
          <w:color w:val="000000"/>
          <w:sz w:val="22"/>
        </w:rPr>
        <w:t>The reflective material may be black, gray, silver or white in color but must reflect white when illuminated by other vehicles’ headlamps.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23.1(3)</w:t>
      </w:r>
      <w:r>
        <w:rPr>
          <w:rFonts w:ascii="Times New Roman" w:hAnsi="Times New Roman"/>
          <w:b w:val="false"/>
          <w:i w:val="false"/>
          <w:color w:val="000000"/>
          <w:sz w:val="22"/>
        </w:rPr>
        <w:t> </w:t>
      </w:r>
      <w:r>
        <w:rPr>
          <w:rFonts w:ascii="Times New Roman" w:hAnsi="Times New Roman"/>
          <w:b w:val="false"/>
          <w:i w:val="false"/>
          <w:color w:val="000000"/>
          <w:sz w:val="22"/>
        </w:rPr>
        <w:t>The reflective material will be visible from a distance of not less than 500 feet from the rear of the vehicle when illuminated by other vehicles’ headlamps.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23.1(4)</w:t>
      </w:r>
      <w:r>
        <w:rPr>
          <w:rFonts w:ascii="Times New Roman" w:hAnsi="Times New Roman"/>
          <w:b w:val="false"/>
          <w:i w:val="false"/>
          <w:color w:val="000000"/>
          <w:sz w:val="22"/>
        </w:rPr>
        <w:t> </w:t>
      </w:r>
      <w:r>
        <w:rPr>
          <w:rFonts w:ascii="Times New Roman" w:hAnsi="Times New Roman"/>
          <w:b w:val="false"/>
          <w:i w:val="false"/>
          <w:color w:val="000000"/>
          <w:sz w:val="22"/>
        </w:rPr>
        <w:t>The reflective material will be kept free of dirt and debris.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321.383(2)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9963C</w:t>
      </w:r>
      <w:r>
        <w:rPr>
          <w:rFonts w:ascii="Times New Roman" w:hAnsi="Times New Roman"/>
          <w:b w:val="false"/>
          <w:i w:val="false"/>
          <w:color w:val="000000"/>
          <w:sz w:val="16"/>
        </w:rPr>
        <w:t>, IAB 1/7/26, effective 2/11/26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2/22/72; transferred to Department of Transportation 7/1/75]</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3/9/00, Notice 1/26/00—published 4/5/00, effective 5/10/00]</w:t>
      </w:r>
    </w:p>
    <w:p>
      <w:pPr>
        <w:spacing w:before="0" w:after="0"/>
        <w:ind w:left="120"/>
        <w:jc w:val="center"/>
      </w:pPr>
      <w:r>
        <w:rPr>
          <w:rFonts w:ascii="Times New Roman" w:hAnsi="Times New Roman"/>
          <w:b w:val="false"/>
          <w:i w:val="false"/>
          <w:color w:val="000000"/>
          <w:sz w:val="21"/>
        </w:rPr>
        <w:t>[Editorial change: IAC Supplement 2/24/21]</w:t>
      </w:r>
    </w:p>
    <w:p>
      <w:pPr>
        <w:spacing w:before="0" w:after="0"/>
        <w:ind w:left="120"/>
        <w:jc w:val="center"/>
      </w:pPr>
      <w:r>
        <w:rPr>
          <w:rFonts w:ascii="Times New Roman" w:hAnsi="Times New Roman"/>
          <w:b w:val="false"/>
          <w:i w:val="false"/>
          <w:color w:val="000000"/>
          <w:sz w:val="21"/>
        </w:rPr>
        <w:t>[Editorial change: IAC Supplement 8/7/24]</w:t>
      </w:r>
    </w:p>
    <w:p>
      <w:pPr>
        <w:spacing w:before="0" w:after="0"/>
        <w:ind w:left="120"/>
        <w:jc w:val="center"/>
      </w:pPr>
      <w:r>
        <w:rPr>
          <w:rFonts w:ascii="Times New Roman" w:hAnsi="Times New Roman"/>
          <w:b w:val="false"/>
          <w:i w:val="false"/>
          <w:color w:val="000000"/>
          <w:sz w:val="21"/>
        </w:rPr>
        <w:t>[Filed ARC 9963C</w:t>
      </w:r>
      <w:r>
        <w:rPr>
          <w:rFonts w:ascii="Times New Roman" w:hAnsi="Times New Roman"/>
          <w:b w:val="false"/>
          <w:i w:val="false"/>
          <w:color w:val="000000"/>
          <w:sz w:val="21"/>
        </w:rPr>
        <w:t xml:space="preserve"> (Notice ARC 9635C, IAB 10/29/25)</w:t>
      </w:r>
      <w:r>
        <w:rPr>
          <w:rFonts w:ascii="Times New Roman" w:hAnsi="Times New Roman"/>
          <w:b w:val="false"/>
          <w:i w:val="false"/>
          <w:color w:val="000000"/>
          <w:sz w:val="21"/>
        </w:rPr>
        <w:t>, IAB 1/7/26, effective 2/11/26]</w:t>
      </w:r>
    </w:p>
    <w:sectPr>
      <w:footerReference r:id="rId6"/>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383.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