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GOVERNOR’S TRAFFIC SAFETY BUREAU</w:t>
      </w:r>
    </w:p>
    <w:p>
      <w:pPr>
        <w:spacing w:before="0" w:after="0"/>
        <w:ind w:left="120"/>
        <w:jc w:val="center"/>
      </w:pPr>
      <w:r>
        <w:rPr>
          <w:rFonts w:ascii="Times New Roman" w:hAnsi="Times New Roman"/>
          <w:b w:val="false"/>
          <w:i w:val="false"/>
          <w:color w:val="000000"/>
          <w:sz w:val="14"/>
        </w:rPr>
        <w:t>[Prior to 4/20/88, see Planning and Programming[630] 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2/25/31</w:t>
      </w:r>
    </w:p>
    <w:p>
      <w:pPr>
        <w:spacing w:before="0" w:after="0"/>
        <w:ind w:left="120"/>
        <w:jc w:val="both"/>
      </w:pPr>
      <w:r>
        <w:rPr>
          <w:rFonts w:ascii="Times New Roman" w:hAnsi="Times New Roman"/>
          <w:b/>
          <w:i w:val="false"/>
          <w:color w:val="000000"/>
          <w:sz w:val="22"/>
        </w:rPr>
        <w:t>661—20.1</w:t>
      </w:r>
      <w:r>
        <w:rPr>
          <w:rFonts w:ascii="Times New Roman" w:hAnsi="Times New Roman"/>
          <w:b/>
          <w:i w:val="false"/>
          <w:color w:val="000000"/>
          <w:sz w:val="22"/>
        </w:rPr>
        <w:t xml:space="preserve">(23USC402,ExecOrd23) </w:t>
      </w:r>
      <w:r>
        <w:rPr>
          <w:rFonts w:ascii="Times New Roman" w:hAnsi="Times New Roman"/>
          <w:b/>
          <w:i w:val="false"/>
          <w:color w:val="000000"/>
          <w:sz w:val="22"/>
        </w:rPr>
        <w:t xml:space="preserve">Authority. </w:t>
      </w:r>
      <w:r>
        <w:rPr>
          <w:rFonts w:ascii="Times New Roman" w:hAnsi="Times New Roman"/>
          <w:b w:val="false"/>
          <w:i w:val="false"/>
          <w:color w:val="000000"/>
          <w:sz w:val="22"/>
        </w:rPr>
        <w:t>23 U.S.C.</w:t>
      </w:r>
      <w:r>
        <w:rPr>
          <w:rFonts w:ascii="Times New Roman" w:hAnsi="Times New Roman"/>
          <w:b w:val="false"/>
          <w:i w:val="false"/>
          <w:color w:val="000000"/>
          <w:sz w:val="22"/>
        </w:rPr>
        <w:t xml:space="preserve"> Section 402 requires each state to have a highway safety program sponsored by the U.S. Secretary of Transportation under the responsibility of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w:t>
      </w:r>
      <w:r>
        <w:rPr>
          <w:rFonts w:ascii="Times New Roman" w:hAnsi="Times New Roman"/>
          <w:b w:val="false"/>
          <w:i w:val="false"/>
          <w:color w:val="000000"/>
          <w:sz w:val="22"/>
        </w:rPr>
        <w:t> </w:t>
      </w:r>
      <w:r>
        <w:rPr>
          <w:rFonts w:ascii="Times New Roman" w:hAnsi="Times New Roman"/>
          <w:b w:val="false"/>
          <w:i w:val="false"/>
          <w:color w:val="000000"/>
          <w:sz w:val="22"/>
        </w:rPr>
        <w:t>The governor designated the commissioner of the department of public safety as the governor’s highway safety representative for Iowa and established the department of public safety as the state highway safety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governor’s traffic safety bureau administers the state highway safety program in accordance with the provisions of </w:t>
      </w:r>
      <w:r>
        <w:rPr>
          <w:rFonts w:ascii="Times New Roman" w:hAnsi="Times New Roman"/>
          <w:b w:val="false"/>
          <w:i w:val="false"/>
          <w:color w:val="000000"/>
          <w:sz w:val="22"/>
        </w:rPr>
        <w:t>23 U.S.C.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0020D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661—20.2</w:t>
      </w:r>
      <w:r>
        <w:rPr>
          <w:rFonts w:ascii="Times New Roman" w:hAnsi="Times New Roman"/>
          <w:b/>
          <w:i w:val="false"/>
          <w:color w:val="000000"/>
          <w:sz w:val="22"/>
        </w:rPr>
        <w:t xml:space="preserve">(23USC402,ExecOrd23)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highway safety program is to provide a coordinated federal, state and local effort to reduce traffic-related deaths, injuries, and property damage crashes.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0020D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661—20.3</w:t>
      </w:r>
      <w:r>
        <w:rPr>
          <w:rFonts w:ascii="Times New Roman" w:hAnsi="Times New Roman"/>
          <w:b/>
          <w:i w:val="false"/>
          <w:color w:val="000000"/>
          <w:sz w:val="22"/>
        </w:rPr>
        <w:t xml:space="preserve">(23USC402,ExecOrd23) </w:t>
      </w:r>
      <w:r>
        <w:rPr>
          <w:rFonts w:ascii="Times New Roman" w:hAnsi="Times New Roman"/>
          <w:b/>
          <w:i w:val="false"/>
          <w:color w:val="000000"/>
          <w:sz w:val="22"/>
        </w:rPr>
        <w:t xml:space="preserve">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w:t>
      </w:r>
      <w:r>
        <w:rPr>
          <w:rFonts w:ascii="Times New Roman" w:hAnsi="Times New Roman"/>
          <w:b w:val="false"/>
          <w:i w:val="false"/>
          <w:color w:val="000000"/>
          <w:sz w:val="22"/>
        </w:rPr>
        <w:t> </w:t>
      </w:r>
      <w:r>
        <w:rPr>
          <w:rFonts w:ascii="Times New Roman" w:hAnsi="Times New Roman"/>
          <w:b w:val="false"/>
          <w:i w:val="false"/>
          <w:color w:val="000000"/>
          <w:sz w:val="22"/>
        </w:rPr>
        <w:t>The governor’s traffic safety bureau develops and prepares the state’s highway safety plan based on evaluation of highway crashes and traffic safety problems within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w:t>
      </w:r>
      <w:r>
        <w:rPr>
          <w:rFonts w:ascii="Times New Roman" w:hAnsi="Times New Roman"/>
          <w:b w:val="false"/>
          <w:i w:val="false"/>
          <w:color w:val="000000"/>
          <w:sz w:val="22"/>
        </w:rPr>
        <w:t> </w:t>
      </w:r>
      <w:r>
        <w:rPr>
          <w:rFonts w:ascii="Times New Roman" w:hAnsi="Times New Roman"/>
          <w:b w:val="false"/>
          <w:i w:val="false"/>
          <w:color w:val="000000"/>
          <w:sz w:val="22"/>
        </w:rPr>
        <w:t>The governor’s traffic safety bureau encourages and assists local units of government in improving their traffic safety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w:t>
      </w:r>
      <w:r>
        <w:rPr>
          <w:rFonts w:ascii="Times New Roman" w:hAnsi="Times New Roman"/>
          <w:b w:val="false"/>
          <w:i w:val="false"/>
          <w:color w:val="000000"/>
          <w:sz w:val="22"/>
        </w:rPr>
        <w:t> </w:t>
      </w:r>
      <w:r>
        <w:rPr>
          <w:rFonts w:ascii="Times New Roman" w:hAnsi="Times New Roman"/>
          <w:b w:val="false"/>
          <w:i w:val="false"/>
          <w:color w:val="000000"/>
          <w:sz w:val="22"/>
        </w:rPr>
        <w:t>The governor’s traffic safety bureau serves as a reviewing authority for federal and state traffic safety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governor’s traffic safety bureau monitors safety program activity and expenditures of funds by state and local agencies as authorized by </w:t>
      </w:r>
      <w:r>
        <w:rPr>
          <w:rFonts w:ascii="Times New Roman" w:hAnsi="Times New Roman"/>
          <w:b w:val="false"/>
          <w:i w:val="false"/>
          <w:color w:val="000000"/>
          <w:sz w:val="22"/>
        </w:rPr>
        <w:t>23 U.S.C.</w:t>
      </w:r>
      <w:r>
        <w:rPr>
          <w:rFonts w:ascii="Times New Roman" w:hAnsi="Times New Roman"/>
          <w:b w:val="false"/>
          <w:i w:val="false"/>
          <w:color w:val="000000"/>
          <w:sz w:val="22"/>
        </w:rPr>
        <w:t xml:space="preserve"> Section 402.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w:t>
      </w:r>
      <w:r>
        <w:rPr>
          <w:rFonts w:ascii="Times New Roman" w:hAnsi="Times New Roman"/>
          <w:b w:val="false"/>
          <w:i w:val="false"/>
          <w:color w:val="000000"/>
          <w:sz w:val="22"/>
        </w:rPr>
        <w:t> </w:t>
      </w:r>
      <w:r>
        <w:rPr>
          <w:rFonts w:ascii="Times New Roman" w:hAnsi="Times New Roman"/>
          <w:b w:val="false"/>
          <w:i w:val="false"/>
          <w:color w:val="000000"/>
          <w:sz w:val="22"/>
        </w:rPr>
        <w:t>The governor’s traffic safety bureau coordinates the state highway safety plan with other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w:t>
      </w:r>
      <w:r>
        <w:rPr>
          <w:rFonts w:ascii="Times New Roman" w:hAnsi="Times New Roman"/>
          <w:b w:val="false"/>
          <w:i w:val="false"/>
          <w:color w:val="000000"/>
          <w:sz w:val="22"/>
        </w:rPr>
        <w:t> </w:t>
      </w:r>
      <w:r>
        <w:rPr>
          <w:rFonts w:ascii="Times New Roman" w:hAnsi="Times New Roman"/>
          <w:b w:val="false"/>
          <w:i w:val="false"/>
          <w:color w:val="000000"/>
          <w:sz w:val="22"/>
        </w:rPr>
        <w:t>Application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Proposals for funding highway safety programs may be submitted during set application time periods by any city, county, or state agency or nonprofit organization or any other eligible organization or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funding in the next federal fiscal year, beginning October 1, must be received on or before March 1 to be considered. The bureau chief of the governor’s traffic safety bureau may amend the deadline dates in order to implement projects and special activities as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Initial proposals should include project title, statement of the highway safety problem to be addressed supported by crash data, what is being proposed to solve the problem, how it will be evaluated, a proposed budget, and a letter of intent accepting responsibility for the proposed project from the responsible authority of the organization making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Only requests containing the listed elements will be considered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Assistance in developing and submitting proposals for highway safety funding may be obtained by contacting the governor’s traffic safety bureau, Iowa department of public safety, by email at </w:t>
      </w:r>
      <w:hyperlink r:id="rId5">
        <w:r>
          <w:rPr>
            <w:rStyle w:val="Hyperlink"/>
            <w:rFonts w:ascii="Times New Roman" w:hAnsi="Times New Roman"/>
            <w:b w:val="false"/>
            <w:i w:val="false"/>
            <w:color w:val="000000"/>
            <w:sz w:val="22"/>
            <w:u w:val="single"/>
          </w:rPr>
          <w:t>gtsbinfo@dps.state.ia.us</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0020D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661—20.4</w:t>
      </w:r>
      <w:r>
        <w:rPr>
          <w:rFonts w:ascii="Times New Roman" w:hAnsi="Times New Roman"/>
          <w:b/>
          <w:i w:val="false"/>
          <w:color w:val="000000"/>
          <w:sz w:val="22"/>
        </w:rPr>
        <w:t xml:space="preserve">(23USC402,ExecOrd23) </w:t>
      </w:r>
      <w:r>
        <w:rPr>
          <w:rFonts w:ascii="Times New Roman" w:hAnsi="Times New Roman"/>
          <w:b/>
          <w:i w:val="false"/>
          <w:color w:val="000000"/>
          <w:sz w:val="22"/>
        </w:rPr>
        <w:t xml:space="preserve">Funding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val="false"/>
          <w:color w:val="000000"/>
          <w:sz w:val="22"/>
        </w:rPr>
        <w:t xml:space="preserve">Allocation of federally appropriated funds administered by the governor’s traffic safety bureau pursuant to </w:t>
      </w:r>
      <w:r>
        <w:rPr>
          <w:rFonts w:ascii="Times New Roman" w:hAnsi="Times New Roman"/>
          <w:b w:val="false"/>
          <w:i w:val="false"/>
          <w:color w:val="000000"/>
          <w:sz w:val="22"/>
        </w:rPr>
        <w:t>23 U.S.C.</w:t>
      </w:r>
      <w:r>
        <w:rPr>
          <w:rFonts w:ascii="Times New Roman" w:hAnsi="Times New Roman"/>
          <w:b w:val="false"/>
          <w:i w:val="false"/>
          <w:color w:val="000000"/>
          <w:sz w:val="22"/>
        </w:rPr>
        <w:t xml:space="preserve"> Section 402 are based on: (1) federally mandated projects; and (2) high-fatality and personal-injury crash causations and locations.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The governor’s traffic safety bureau refers to current federal authorization to dictate how funds are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40 percent of all federal funds apportioned to the state of Iowa pursuant to </w:t>
      </w:r>
      <w:r>
        <w:rPr>
          <w:rFonts w:ascii="Times New Roman" w:hAnsi="Times New Roman"/>
          <w:b w:val="false"/>
          <w:i w:val="false"/>
          <w:color w:val="000000"/>
          <w:sz w:val="22"/>
        </w:rPr>
        <w:t>23 U.S.C.</w:t>
      </w:r>
      <w:r>
        <w:rPr>
          <w:rFonts w:ascii="Times New Roman" w:hAnsi="Times New Roman"/>
          <w:b w:val="false"/>
          <w:i w:val="false"/>
          <w:color w:val="000000"/>
          <w:sz w:val="22"/>
        </w:rPr>
        <w:t xml:space="preserve"> Section 402 for any fiscal year will be expended by political subdivisions of the state to carry out local highway safety programs authorized by the governor’s representative for highway safety.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0020D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661—20.5</w:t>
      </w:r>
      <w:r>
        <w:rPr>
          <w:rFonts w:ascii="Times New Roman" w:hAnsi="Times New Roman"/>
          <w:b/>
          <w:i w:val="false"/>
          <w:color w:val="000000"/>
          <w:sz w:val="22"/>
        </w:rPr>
        <w:t xml:space="preserve">(23USC402,ExecOrd23) </w:t>
      </w:r>
      <w:r>
        <w:rPr>
          <w:rFonts w:ascii="Times New Roman" w:hAnsi="Times New Roman"/>
          <w:b/>
          <w:i w:val="false"/>
          <w:color w:val="000000"/>
          <w:sz w:val="22"/>
        </w:rPr>
        <w:t xml:space="preserve">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approved programs funded by the governor’s traffic safety bureau are administered in compliance with the current version of the Iowa Governor’s Traffic Safety Bureau Policies and Procedures Manual located on the department of public safety’s website at </w:t>
      </w:r>
      <w:hyperlink r:id="rId6">
        <w:r>
          <w:rPr>
            <w:rStyle w:val="Hyperlink"/>
            <w:rFonts w:ascii="Times New Roman" w:hAnsi="Times New Roman"/>
            <w:b w:val="false"/>
            <w:i w:val="false"/>
            <w:color w:val="000000"/>
            <w:sz w:val="22"/>
            <w:u w:val="single"/>
          </w:rPr>
          <w:t>dps.iowa.gov/gtsb-publications-surveys-reports</w:t>
        </w:r>
      </w:hyperlink>
      <w:r>
        <w:rPr>
          <w:rFonts w:ascii="Times New Roman" w:hAnsi="Times New Roman"/>
          <w:b w:val="false"/>
          <w:i w:val="false"/>
          <w:color w:val="000000"/>
          <w:sz w:val="22"/>
        </w:rPr>
        <w:t xml:space="preserve">. Copies may also be obtained by emailing </w:t>
      </w:r>
      <w:hyperlink r:id="rId7">
        <w:r>
          <w:rPr>
            <w:rStyle w:val="Hyperlink"/>
            <w:rFonts w:ascii="Times New Roman" w:hAnsi="Times New Roman"/>
            <w:b w:val="false"/>
            <w:i w:val="false"/>
            <w:color w:val="000000"/>
            <w:sz w:val="22"/>
            <w:u w:val="single"/>
          </w:rPr>
          <w:t>gtsbinfo@dps.state.ia.us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w:t>
      </w:r>
      <w:r>
        <w:rPr>
          <w:rFonts w:ascii="Times New Roman" w:hAnsi="Times New Roman"/>
          <w:b w:val="false"/>
          <w:i w:val="false"/>
          <w:color w:val="000000"/>
          <w:sz w:val="22"/>
        </w:rPr>
        <w:t> </w:t>
      </w:r>
      <w:r>
        <w:rPr>
          <w:rFonts w:ascii="Times New Roman" w:hAnsi="Times New Roman"/>
          <w:b w:val="false"/>
          <w:i w:val="false"/>
          <w:color w:val="000000"/>
          <w:sz w:val="22"/>
        </w:rPr>
        <w:t>Highway safety contract procedures and reporting forms and their explanations are contained in the current version of the Iowa Governor’s Traffic Safety Bureau Policies and Procedures Manual.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0020D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Executive Order 23 and </w:t>
      </w:r>
      <w:r>
        <w:rPr>
          <w:rFonts w:ascii="Times New Roman" w:hAnsi="Times New Roman"/>
          <w:b w:val="false"/>
          <w:i w:val="false"/>
          <w:color w:val="000000"/>
          <w:sz w:val="22"/>
        </w:rPr>
        <w:t>23 U.S.C.</w:t>
      </w:r>
      <w:r>
        <w:rPr>
          <w:rFonts w:ascii="Times New Roman" w:hAnsi="Times New Roman"/>
          <w:b w:val="false"/>
          <w:i w:val="false"/>
          <w:color w:val="000000"/>
          <w:sz w:val="22"/>
        </w:rPr>
        <w:t xml:space="preserve"> Section 402. </w:t>
      </w:r>
    </w:p>
    <w:p>
      <w:pPr>
        <w:spacing w:before="0" w:after="0"/>
        <w:ind w:left="120"/>
        <w:jc w:val="center"/>
      </w:pPr>
      <w:r>
        <w:rPr>
          <w:rFonts w:ascii="Times New Roman" w:hAnsi="Times New Roman"/>
          <w:b w:val="false"/>
          <w:i w:val="false"/>
          <w:color w:val="000000"/>
          <w:sz w:val="21"/>
        </w:rPr>
        <w:t>[Filed 7/15/75]</w:t>
      </w:r>
    </w:p>
    <w:p>
      <w:pPr>
        <w:spacing w:before="0" w:after="0"/>
        <w:ind w:left="120"/>
        <w:jc w:val="center"/>
      </w:pPr>
      <w:r>
        <w:rPr>
          <w:rFonts w:ascii="Times New Roman" w:hAnsi="Times New Roman"/>
          <w:b w:val="false"/>
          <w:i w:val="false"/>
          <w:color w:val="000000"/>
          <w:sz w:val="21"/>
        </w:rPr>
        <w:t>[Filed 5/27/77, Notice 9/8/76—published 6/15/77, effective 7/20/77]</w:t>
      </w:r>
    </w:p>
    <w:p>
      <w:pPr>
        <w:spacing w:before="0" w:after="0"/>
        <w:ind w:left="120"/>
        <w:jc w:val="center"/>
      </w:pPr>
      <w:r>
        <w:rPr>
          <w:rFonts w:ascii="Times New Roman" w:hAnsi="Times New Roman"/>
          <w:b w:val="false"/>
          <w:i w:val="false"/>
          <w:color w:val="000000"/>
          <w:sz w:val="21"/>
        </w:rPr>
        <w:t>[Filed 7/29/80, Notice 3/19/80—published 8/20/80, effective 9/24/80]</w:t>
      </w:r>
    </w:p>
    <w:p>
      <w:pPr>
        <w:spacing w:before="0" w:after="0"/>
        <w:ind w:left="120"/>
        <w:jc w:val="center"/>
      </w:pPr>
      <w:r>
        <w:rPr>
          <w:rFonts w:ascii="Times New Roman" w:hAnsi="Times New Roman"/>
          <w:b w:val="false"/>
          <w:i w:val="false"/>
          <w:color w:val="000000"/>
          <w:sz w:val="21"/>
        </w:rPr>
        <w:t>[Filed 2/13/81, Notice 10/29/80—published 3/4/81, effective 4/8/81]</w:t>
      </w:r>
    </w:p>
    <w:p>
      <w:pPr>
        <w:spacing w:before="0" w:after="0"/>
        <w:ind w:left="120"/>
        <w:jc w:val="center"/>
      </w:pPr>
      <w:r>
        <w:rPr>
          <w:rFonts w:ascii="Times New Roman" w:hAnsi="Times New Roman"/>
          <w:b w:val="false"/>
          <w:i w:val="false"/>
          <w:color w:val="000000"/>
          <w:sz w:val="21"/>
        </w:rPr>
        <w:t>[Filed 4/1/88, Notice 9/23/87—published 4/20/88, effective 5/25/88]</w:t>
      </w:r>
    </w:p>
    <w:p>
      <w:pPr>
        <w:spacing w:before="0" w:after="0"/>
        <w:ind w:left="120"/>
        <w:jc w:val="center"/>
      </w:pPr>
      <w:r>
        <w:rPr>
          <w:rFonts w:ascii="Times New Roman" w:hAnsi="Times New Roman"/>
          <w:b w:val="false"/>
          <w:i w:val="false"/>
          <w:color w:val="000000"/>
          <w:sz w:val="21"/>
        </w:rPr>
        <w:t>[Filed emergency 2/11/94—published 3/2/94, effective 3/1/94]</w:t>
      </w:r>
    </w:p>
    <w:p>
      <w:pPr>
        <w:spacing w:before="0" w:after="0"/>
        <w:ind w:left="120"/>
        <w:jc w:val="center"/>
      </w:pPr>
      <w:r>
        <w:rPr>
          <w:rFonts w:ascii="Times New Roman" w:hAnsi="Times New Roman"/>
          <w:b w:val="false"/>
          <w:i w:val="false"/>
          <w:color w:val="000000"/>
          <w:sz w:val="21"/>
        </w:rPr>
        <w:t>[Filed 4/29/94, Notice 10/13/93—published 5/25/94, effective 7/1/94]</w:t>
      </w:r>
    </w:p>
    <w:p>
      <w:pPr>
        <w:spacing w:before="0" w:after="0"/>
        <w:ind w:left="120"/>
        <w:jc w:val="center"/>
      </w:pPr>
      <w:r>
        <w:rPr>
          <w:rFonts w:ascii="Times New Roman" w:hAnsi="Times New Roman"/>
          <w:b w:val="false"/>
          <w:i w:val="false"/>
          <w:color w:val="000000"/>
          <w:sz w:val="21"/>
        </w:rPr>
        <w:t>[Filed emergency 1/27/95—published 2/15/95, effective 2/1/95]</w:t>
      </w:r>
    </w:p>
    <w:p>
      <w:pPr>
        <w:spacing w:before="0" w:after="0"/>
        <w:ind w:left="120"/>
        <w:jc w:val="center"/>
      </w:pPr>
      <w:r>
        <w:rPr>
          <w:rFonts w:ascii="Times New Roman" w:hAnsi="Times New Roman"/>
          <w:b w:val="false"/>
          <w:i w:val="false"/>
          <w:color w:val="000000"/>
          <w:sz w:val="21"/>
        </w:rPr>
        <w:t>[Editorial change: IAC Supplement 6/17/09]</w:t>
      </w:r>
    </w:p>
    <w:p>
      <w:pPr>
        <w:spacing w:before="0" w:after="0"/>
        <w:ind w:left="120"/>
        <w:jc w:val="center"/>
      </w:pPr>
      <w:r>
        <w:rPr>
          <w:rFonts w:ascii="Times New Roman" w:hAnsi="Times New Roman"/>
          <w:b w:val="false"/>
          <w:i w:val="false"/>
          <w:color w:val="000000"/>
          <w:sz w:val="21"/>
        </w:rPr>
        <w:t>[Filed ARC 5253C</w:t>
      </w:r>
      <w:r>
        <w:rPr>
          <w:rFonts w:ascii="Times New Roman" w:hAnsi="Times New Roman"/>
          <w:b w:val="false"/>
          <w:i w:val="false"/>
          <w:color w:val="000000"/>
          <w:sz w:val="21"/>
        </w:rPr>
        <w:t xml:space="preserve"> (Notice ARC 5084C, IAB 7/15/20)</w:t>
      </w:r>
      <w:r>
        <w:rPr>
          <w:rFonts w:ascii="Times New Roman" w:hAnsi="Times New Roman"/>
          <w:b w:val="false"/>
          <w:i w:val="false"/>
          <w:color w:val="000000"/>
          <w:sz w:val="21"/>
        </w:rPr>
        <w:t>, IAB 11/4/20, effective 12/9/20]</w:t>
      </w:r>
    </w:p>
    <w:p>
      <w:pPr>
        <w:spacing w:before="0" w:after="0"/>
        <w:ind w:left="120"/>
        <w:jc w:val="center"/>
      </w:pPr>
      <w:r>
        <w:rPr>
          <w:rFonts w:ascii="Times New Roman" w:hAnsi="Times New Roman"/>
          <w:b w:val="false"/>
          <w:i w:val="false"/>
          <w:color w:val="000000"/>
          <w:sz w:val="21"/>
        </w:rPr>
        <w:t>[Filed ARC 0020D</w:t>
      </w:r>
      <w:r>
        <w:rPr>
          <w:rFonts w:ascii="Times New Roman" w:hAnsi="Times New Roman"/>
          <w:b w:val="false"/>
          <w:i w:val="false"/>
          <w:color w:val="000000"/>
          <w:sz w:val="21"/>
        </w:rPr>
        <w:t xml:space="preserve"> (Notice ARC 9728C, IAB 11/26/25)</w:t>
      </w:r>
      <w:r>
        <w:rPr>
          <w:rFonts w:ascii="Times New Roman" w:hAnsi="Times New Roman"/>
          <w:b w:val="false"/>
          <w:i w:val="false"/>
          <w:color w:val="000000"/>
          <w:sz w:val="21"/>
        </w:rPr>
        <w:t>, IAB 1/21/26, effective 2/25/26]</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mailto:gtsbinfo@dps.state.ia.us" Type="http://schemas.openxmlformats.org/officeDocument/2006/relationships/hyperlink" Id="rId5"/>
    <Relationship TargetMode="External" Target="http://dps.iowa.gov/gtsb-publications-surveys-reports" Type="http://schemas.openxmlformats.org/officeDocument/2006/relationships/hyperlink" Id="rId6"/>
    <Relationship TargetMode="External" Target="mailto:gtsbinfo@dps.state.ia.us"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