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DIVISION OF CRIMINAL INVESTIGATION CRIMINALISTICS LABORATORY</w:t>
      </w:r>
    </w:p>
    <w:p>
      <w:pPr>
        <w:spacing w:before="0" w:after="0"/>
        <w:ind w:left="120"/>
        <w:jc w:val="center"/>
      </w:pPr>
      <w:r>
        <w:rPr>
          <w:rFonts w:ascii="Times New Roman" w:hAnsi="Times New Roman"/>
          <w:b w:val="false"/>
          <w:i w:val="false"/>
          <w:color w:val="000000"/>
          <w:sz w:val="14"/>
        </w:rPr>
        <w:t>[Prior to 11/22/06, see 661—Ch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661—150.1</w:t>
      </w:r>
      <w:r>
        <w:rPr>
          <w:rFonts w:ascii="Times New Roman" w:hAnsi="Times New Roman"/>
          <w:b/>
          <w:i w:val="false"/>
          <w:color w:val="000000"/>
          <w:sz w:val="22"/>
        </w:rPr>
        <w:t xml:space="preserve">(691) </w:t>
      </w:r>
      <w:r>
        <w:rPr>
          <w:rFonts w:ascii="Times New Roman" w:hAnsi="Times New Roman"/>
          <w:b/>
          <w:i w:val="false"/>
          <w:color w:val="000000"/>
          <w:sz w:val="22"/>
        </w:rPr>
        <w:t xml:space="preserve">Criminalistics laboratory. </w:t>
      </w:r>
      <w:r>
        <w:rPr>
          <w:rFonts w:ascii="Times New Roman" w:hAnsi="Times New Roman"/>
          <w:b w:val="false"/>
          <w:i w:val="false"/>
          <w:color w:val="000000"/>
          <w:sz w:val="22"/>
        </w:rPr>
        <w:t xml:space="preserve">The state criminalistics laboratory created in Iowa Code section </w:t>
      </w:r>
      <w:hyperlink r:id="rId5">
        <w:r>
          <w:rPr>
            <w:rStyle w:val="Hyperlink"/>
            <w:rFonts w:ascii="Times New Roman" w:hAnsi="Times New Roman"/>
            <w:b w:val="false"/>
            <w:i w:val="false"/>
            <w:color w:val="000000"/>
            <w:sz w:val="22"/>
          </w:rPr>
          <w:t>691.1</w:t>
        </w:r>
      </w:hyperlink>
      <w:r>
        <w:rPr>
          <w:rFonts w:ascii="Times New Roman" w:hAnsi="Times New Roman"/>
          <w:b w:val="false"/>
          <w:i w:val="false"/>
          <w:color w:val="000000"/>
          <w:sz w:val="22"/>
        </w:rPr>
        <w:t xml:space="preserve"> is located, pursuant to that section, within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state criminalistics laboratory will be known as the division of criminal investigation criminalistics laboratory. Unless the context clearly implies otherwise, the term “laboratory,” when used in this chapter, means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laboratory will be headed by an administrator who reports to the director of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address of the laboratory for receiving mail or shipped materials is Iowa DCI Criminalistics Laboratory, 2240 South Ankeny Boulevard, Ankeny, Iowa 50023.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of the laboratory is 515.725.1500.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laboratory may be obtained from the department website.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Currently, information about the laboratory may be found at </w:t>
      </w:r>
      <w:hyperlink r:id="rId6">
        <w:r>
          <w:rPr>
            <w:rStyle w:val="Hyperlink"/>
            <w:rFonts w:ascii="Times New Roman" w:hAnsi="Times New Roman"/>
            <w:b w:val="false"/>
            <w:i w:val="false"/>
            <w:color w:val="000000"/>
            <w:sz w:val="22"/>
            <w:u w:val="single"/>
          </w:rPr>
          <w:t>www.dps.state.ia.us/DCI/Crime_Lab/index.shtml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p>
    <w:p>
      <w:pPr>
        <w:spacing w:before="0" w:after="0"/>
        <w:ind w:left="120"/>
        <w:jc w:val="both"/>
      </w:pPr>
      <w:r>
        <w:rPr>
          <w:rFonts w:ascii="Times New Roman" w:hAnsi="Times New Roman"/>
          <w:b/>
          <w:i w:val="false"/>
          <w:color w:val="000000"/>
          <w:sz w:val="22"/>
        </w:rPr>
        <w:t>661—150.2</w:t>
      </w:r>
      <w:r>
        <w:rPr>
          <w:rFonts w:ascii="Times New Roman" w:hAnsi="Times New Roman"/>
          <w:b/>
          <w:i w:val="false"/>
          <w:color w:val="000000"/>
          <w:sz w:val="22"/>
        </w:rPr>
        <w:t xml:space="preserve">(691) </w:t>
      </w:r>
      <w:r>
        <w:rPr>
          <w:rFonts w:ascii="Times New Roman" w:hAnsi="Times New Roman"/>
          <w:b/>
          <w:i w:val="false"/>
          <w:color w:val="000000"/>
          <w:sz w:val="22"/>
        </w:rPr>
        <w:t xml:space="preserve">Purpose and scope of work. </w:t>
      </w:r>
      <w:r>
        <w:rPr>
          <w:rFonts w:ascii="Times New Roman" w:hAnsi="Times New Roman"/>
          <w:b w:val="false"/>
          <w:i w:val="false"/>
          <w:color w:val="000000"/>
          <w:sz w:val="22"/>
        </w:rPr>
        <w:t>The laboratory provides forensic science services to law enforcement agencies within the state of Iowa. The laboratory will, within its capabilities, conduct analyses and comparative studies on physical evidence to aid in any criminal investigation, when requested by a prosecuting attorney, a medical examiner, or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150.2(1)</w:t>
      </w:r>
      <w:r>
        <w:rPr>
          <w:rFonts w:ascii="Times New Roman" w:hAnsi="Times New Roman"/>
          <w:b w:val="false"/>
          <w:i w:val="false"/>
          <w:color w:val="000000"/>
          <w:sz w:val="22"/>
        </w:rPr>
        <w:t> </w:t>
      </w:r>
      <w:r>
        <w:rPr>
          <w:rFonts w:ascii="Times New Roman" w:hAnsi="Times New Roman"/>
          <w:b w:val="false"/>
          <w:i/>
          <w:color w:val="000000"/>
          <w:sz w:val="22"/>
        </w:rPr>
        <w:t xml:space="preserve">Resource or capability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laboratory administrator may refuse any request to conduct an analysis when, in the judgment of the administrator, the laboratory is unable to adequately conduct the requested analysis, either because of resource limitations or because the analysis is not within the professional capabilities of laboratory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laboratory administrator may establish a policy excluding evidence of specific types or evidence arising from certain types of cases from being accepted by the laboratory if the administrator finds that such a policy is necessary either due to resource constraints, safety concerns, or the professional capabilities of laboratory personnel. Any policy adopted pursuant to this paragraph will be made available to all county attorneys, medical examiners, and law enforcement agencies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analysis by the laboratory of specific evidence arising from a criminal investigation in Iowa has been excluded pursuant to either paragraph </w:t>
      </w:r>
      <w:hyperlink r:id="rId7">
        <w:r>
          <w:rPr>
            <w:rStyle w:val="Hyperlink"/>
            <w:rFonts w:ascii="Times New Roman" w:hAnsi="Times New Roman"/>
            <w:b w:val="false"/>
            <w:i w:val="false"/>
            <w:color w:val="000000"/>
            <w:sz w:val="22"/>
          </w:rPr>
          <w:t>150.2(1)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administrator may, at the administrator’s discretion, assist the agency requesting the analysis in locating the services of another laboratory able to perform the requested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150.2(2)</w:t>
      </w:r>
      <w:r>
        <w:rPr>
          <w:rFonts w:ascii="Times New Roman" w:hAnsi="Times New Roman"/>
          <w:b w:val="false"/>
          <w:i w:val="false"/>
          <w:color w:val="000000"/>
          <w:sz w:val="22"/>
        </w:rPr>
        <w:t> </w:t>
      </w:r>
      <w:r>
        <w:rPr>
          <w:rFonts w:ascii="Times New Roman" w:hAnsi="Times New Roman"/>
          <w:b w:val="false"/>
          <w:i/>
          <w:color w:val="000000"/>
          <w:sz w:val="22"/>
        </w:rPr>
        <w:t xml:space="preserve">Exclusion by law. </w:t>
      </w:r>
      <w:r>
        <w:rPr>
          <w:rFonts w:ascii="Times New Roman" w:hAnsi="Times New Roman"/>
          <w:b w:val="false"/>
          <w:i w:val="false"/>
          <w:color w:val="000000"/>
          <w:sz w:val="22"/>
        </w:rPr>
        <w:t>The laboratory will only perform analyses that have arisen from, or will aid in, criminal investigations or that are otherwise provided for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661—150.3</w:t>
      </w:r>
      <w:r>
        <w:rPr>
          <w:rFonts w:ascii="Times New Roman" w:hAnsi="Times New Roman"/>
          <w:b/>
          <w:i w:val="false"/>
          <w:color w:val="000000"/>
          <w:sz w:val="22"/>
        </w:rPr>
        <w:t xml:space="preserve">(691) </w:t>
      </w:r>
      <w:r>
        <w:rPr>
          <w:rFonts w:ascii="Times New Roman" w:hAnsi="Times New Roman"/>
          <w:b/>
          <w:i w:val="false"/>
          <w:color w:val="000000"/>
          <w:sz w:val="22"/>
        </w:rPr>
        <w:t xml:space="preserve">Laboratory capabilities. </w:t>
      </w:r>
      <w:r>
        <w:rPr>
          <w:rFonts w:ascii="Times New Roman" w:hAnsi="Times New Roman"/>
          <w:b w:val="false"/>
          <w:i w:val="false"/>
          <w:color w:val="000000"/>
          <w:sz w:val="22"/>
        </w:rPr>
        <w:t>The laboratory is capable of performing any forensic scientific analysis for which a laboratory staff member has received appropriate training and for which the necessary equipment and materials are available to the staff member performing the analysis. Information regarding the current forensic science capabilities of the laboratory may be obtained in the Iowa Criminalistics Laboratory Quality Assurance Manual published by the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661—150.4</w:t>
      </w:r>
      <w:r>
        <w:rPr>
          <w:rFonts w:ascii="Times New Roman" w:hAnsi="Times New Roman"/>
          <w:b/>
          <w:i w:val="false"/>
          <w:color w:val="000000"/>
          <w:sz w:val="22"/>
        </w:rPr>
        <w:t xml:space="preserve">(691) </w:t>
      </w:r>
      <w:r>
        <w:rPr>
          <w:rFonts w:ascii="Times New Roman" w:hAnsi="Times New Roman"/>
          <w:b/>
          <w:i w:val="false"/>
          <w:color w:val="000000"/>
          <w:sz w:val="22"/>
        </w:rPr>
        <w:t xml:space="preserve">Evidence submission to the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val="false"/>
          <w:color w:val="000000"/>
          <w:sz w:val="22"/>
        </w:rPr>
        <w:t>Evidence may be submitted to the laboratory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law enforcement agency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criminal or juvenile justice agency, with the approval of the laboratory administrator;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state agency, with the approval of the laboratory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val="false"/>
          <w:color w:val="000000"/>
          <w:sz w:val="22"/>
        </w:rPr>
        <w:t>Evidence may be submitted to the laboratory via regular, certified, or registered mail or personal service. Any evidence to be submitted to the laboratory will be entered electronically into the laboratory information management system prior to submission. Each entry will include a description of each item to be submitted and an examination request for each item to be submitted.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Access to the laboratory information management system is restricted to authorized users representing agencies authorized to submit evidence to the laboratory. Authorized users should contact the laboratory for instructions regarding access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val="false"/>
          <w:color w:val="000000"/>
          <w:sz w:val="22"/>
        </w:rPr>
        <w:t>Evidence submitted to the laboratory that is not personally delivered will be packaged in such a manner that laboratory personnel can determine that the package has not been opened while in transit. If the laboratory receives an unsealed or damaged package, the laboratory may refuse to process such evidence if the integrity of the evidence has been compromised.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661—150.5</w:t>
      </w:r>
      <w:r>
        <w:rPr>
          <w:rFonts w:ascii="Times New Roman" w:hAnsi="Times New Roman"/>
          <w:b/>
          <w:i w:val="false"/>
          <w:color w:val="000000"/>
          <w:sz w:val="22"/>
        </w:rPr>
        <w:t xml:space="preserve">(17A,691) </w:t>
      </w:r>
      <w:r>
        <w:rPr>
          <w:rFonts w:ascii="Times New Roman" w:hAnsi="Times New Roman"/>
          <w:b/>
          <w:i w:val="false"/>
          <w:color w:val="000000"/>
          <w:sz w:val="22"/>
        </w:rPr>
        <w:t xml:space="preserve">Distribution of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val="false"/>
          <w:color w:val="000000"/>
          <w:sz w:val="22"/>
        </w:rPr>
        <w:t>A copy of each completed report of analyses performed by the laboratory will be provided to the submitting officer and to the prosecuting attorney. The prosecuting attorney is responsible for providing copies of any laboratory report to the defendant or defendants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val="false"/>
          <w:color w:val="000000"/>
          <w:sz w:val="22"/>
        </w:rPr>
        <w:t>Results of laboratory analyses will not be made available to any unauthorized person or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661—150.6</w:t>
      </w:r>
      <w:r>
        <w:rPr>
          <w:rFonts w:ascii="Times New Roman" w:hAnsi="Times New Roman"/>
          <w:b/>
          <w:i w:val="false"/>
          <w:color w:val="000000"/>
          <w:sz w:val="22"/>
        </w:rPr>
        <w:t xml:space="preserve">(17A,691) </w:t>
      </w:r>
      <w:r>
        <w:rPr>
          <w:rFonts w:ascii="Times New Roman" w:hAnsi="Times New Roman"/>
          <w:b/>
          <w:i w:val="false"/>
          <w:color w:val="000000"/>
          <w:sz w:val="22"/>
        </w:rPr>
        <w:t xml:space="preserve">Disposition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val="false"/>
          <w:color w:val="000000"/>
          <w:sz w:val="22"/>
        </w:rPr>
        <w:t>Evidence will be returned to the submitting agency unless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Retention of the evidence would be beneficial for future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Returning the evidence presents a hazard to health or safety. Any required notice to the defendant of destruction of evidence pursuant to this paragraph is the responsibility of the prosecuting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val="false"/>
          <w:color w:val="000000"/>
          <w:sz w:val="22"/>
        </w:rPr>
        <w:t>Evidence will not be transferred or submitted to any person or agency other than the submitting agency without an applicable court order unless authorized by the submitting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691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4/12/76, Notice 3/8/76—published 5/3/76, effective 6/7/76]</w:t>
      </w:r>
    </w:p>
    <w:p>
      <w:pPr>
        <w:spacing w:before="0" w:after="0"/>
        <w:ind w:left="120"/>
        <w:jc w:val="center"/>
      </w:pPr>
      <w:r>
        <w:rPr>
          <w:rFonts w:ascii="Times New Roman" w:hAnsi="Times New Roman"/>
          <w:b w:val="false"/>
          <w:i w:val="false"/>
          <w:color w:val="000000"/>
          <w:sz w:val="21"/>
        </w:rPr>
        <w:t>[Filed emergency 6/4/76—published 6/28/76, effective 6/4/76]</w:t>
      </w:r>
    </w:p>
    <w:p>
      <w:pPr>
        <w:spacing w:before="0" w:after="0"/>
        <w:ind w:left="120"/>
        <w:jc w:val="center"/>
      </w:pPr>
      <w:r>
        <w:rPr>
          <w:rFonts w:ascii="Times New Roman" w:hAnsi="Times New Roman"/>
          <w:b w:val="false"/>
          <w:i w:val="false"/>
          <w:color w:val="000000"/>
          <w:sz w:val="21"/>
        </w:rPr>
        <w:t>[Filed 2/28/78, Notice 1/11/78—published 3/22/78, effective 4/26/78]</w:t>
      </w:r>
    </w:p>
    <w:p>
      <w:pPr>
        <w:spacing w:before="0" w:after="0"/>
        <w:ind w:left="120"/>
        <w:jc w:val="center"/>
      </w:pPr>
      <w:r>
        <w:rPr>
          <w:rFonts w:ascii="Times New Roman" w:hAnsi="Times New Roman"/>
          <w:b w:val="false"/>
          <w:i w:val="false"/>
          <w:color w:val="000000"/>
          <w:sz w:val="21"/>
        </w:rPr>
        <w:t>[Filed emergency 1/25/79—published 2/21/79, effective 1/25/79]</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11/2/06, Notice 9/13/06—published 11/22/06, effective 1/1/07]</w:t>
      </w:r>
    </w:p>
    <w:p>
      <w:pPr>
        <w:spacing w:before="0" w:after="0"/>
        <w:ind w:left="120"/>
        <w:jc w:val="center"/>
      </w:pPr>
      <w:r>
        <w:rPr>
          <w:rFonts w:ascii="Times New Roman" w:hAnsi="Times New Roman"/>
          <w:b w:val="false"/>
          <w:i w:val="false"/>
          <w:color w:val="000000"/>
          <w:sz w:val="21"/>
        </w:rPr>
        <w:t>[Filed ARC 0219C</w:t>
      </w:r>
      <w:r>
        <w:rPr>
          <w:rFonts w:ascii="Times New Roman" w:hAnsi="Times New Roman"/>
          <w:b w:val="false"/>
          <w:i w:val="false"/>
          <w:color w:val="000000"/>
          <w:sz w:val="21"/>
        </w:rPr>
        <w:t xml:space="preserve"> (Notice ARC 0098C, IAB 4/18/12)</w:t>
      </w:r>
      <w:r>
        <w:rPr>
          <w:rFonts w:ascii="Times New Roman" w:hAnsi="Times New Roman"/>
          <w:b w:val="false"/>
          <w:i w:val="false"/>
          <w:color w:val="000000"/>
          <w:sz w:val="21"/>
        </w:rPr>
        <w:t>, IAB 7/25/12, effective 9/1/12]</w:t>
      </w:r>
    </w:p>
    <w:p>
      <w:pPr>
        <w:spacing w:before="0" w:after="0"/>
        <w:ind w:left="120"/>
        <w:jc w:val="center"/>
      </w:pPr>
      <w:r>
        <w:rPr>
          <w:rFonts w:ascii="Times New Roman" w:hAnsi="Times New Roman"/>
          <w:b w:val="false"/>
          <w:i w:val="false"/>
          <w:color w:val="000000"/>
          <w:sz w:val="21"/>
        </w:rPr>
        <w:t>[Filed ARC 0025D</w:t>
      </w:r>
      <w:r>
        <w:rPr>
          <w:rFonts w:ascii="Times New Roman" w:hAnsi="Times New Roman"/>
          <w:b w:val="false"/>
          <w:i w:val="false"/>
          <w:color w:val="000000"/>
          <w:sz w:val="21"/>
        </w:rPr>
        <w:t xml:space="preserve"> (Notice ARC 9724C, IAB 11/26/25)</w:t>
      </w:r>
      <w:r>
        <w:rPr>
          <w:rFonts w:ascii="Times New Roman" w:hAnsi="Times New Roman"/>
          <w:b w:val="false"/>
          <w:i w:val="false"/>
          <w:color w:val="000000"/>
          <w:sz w:val="21"/>
        </w:rPr>
        <w:t>, IAB 1/21/26, effective 2/25/26]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1.pdf" Type="http://schemas.openxmlformats.org/officeDocument/2006/relationships/hyperlink" Id="rId5"/>
    <Relationship TargetMode="External" Target="http://www.dps.state.ia.us/DCI/Crime_Lab/index.shtml" Type="http://schemas.openxmlformats.org/officeDocument/2006/relationships/hyperlink" Id="rId6"/>
    <Relationship TargetMode="External" Target="https://www.legis.iowa.gov/docs/iac/rule/661.150.2.pdf" Type="http://schemas.openxmlformats.org/officeDocument/2006/relationships/hyperlink" Id="rId7"/>
    <Relationship TargetMode="External" Target="https://www.legis.iowa.gov/docs/ico/chapter/69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