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DEATH REGISTRATION AND DISPOSITION OF DEAD HUMAN BODIES</w:t>
      </w:r>
    </w:p>
    <w:p>
      <w:pPr>
        <w:spacing w:before="0" w:after="0"/>
        <w:ind w:left="120"/>
        <w:jc w:val="center"/>
      </w:pPr>
      <w:r>
        <w:rPr>
          <w:rFonts w:ascii="Times New Roman" w:hAnsi="Times New Roman"/>
          <w:b w:val="false"/>
          <w:i w:val="false"/>
          <w:color w:val="000000"/>
          <w:sz w:val="14"/>
        </w:rPr>
        <w:t>[Prior to 12/12/12, see [641] 98.2, Chs 99, 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641—97.1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death events are the property of the department and will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death events will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can be used in the reporting of death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641—97.3</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registration of death—up to one year. </w:t>
      </w:r>
      <w:r>
        <w:rPr>
          <w:rFonts w:ascii="Times New Roman" w:hAnsi="Times New Roman"/>
          <w:b w:val="false"/>
          <w:i w:val="false"/>
          <w:color w:val="000000"/>
          <w:sz w:val="22"/>
        </w:rPr>
        <w:t>Iowa death records submitted for registration within one year from the date of death will be prepared on the standard Certificate of Death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97.3(1)</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death occurs or in which the dead human body is found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97.3(2)</w:t>
      </w:r>
      <w:r>
        <w:rPr>
          <w:rFonts w:ascii="Times New Roman" w:hAnsi="Times New Roman"/>
          <w:b w:val="false"/>
          <w:i w:val="false"/>
          <w:color w:val="000000"/>
          <w:sz w:val="22"/>
        </w:rPr>
        <w:t> </w:t>
      </w:r>
      <w:r>
        <w:rPr>
          <w:rFonts w:ascii="Times New Roman" w:hAnsi="Times New Roman"/>
          <w:b w:val="false"/>
          <w:i w:val="false"/>
          <w:color w:val="000000"/>
          <w:sz w:val="22"/>
        </w:rPr>
        <w:t>If the death occurs in a moving conveyance, the county in which the dead human body is first removed from the conveyance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with a duty related to death certificates shall participate in the electronic death record system. A person with a duty related to a death certificate includes but is not limited to a physician as defined in Iowa Code section </w:t>
      </w:r>
      <w:hyperlink r:id="rId6">
        <w:r>
          <w:rPr>
            <w:rStyle w:val="Hyperlink"/>
            <w:rFonts w:ascii="Times New Roman" w:hAnsi="Times New Roman"/>
            <w:b w:val="false"/>
            <w:i w:val="false"/>
            <w:color w:val="000000"/>
            <w:sz w:val="22"/>
          </w:rPr>
          <w:t>135.1</w:t>
        </w:r>
      </w:hyperlink>
      <w:r>
        <w:rPr>
          <w:rFonts w:ascii="Times New Roman" w:hAnsi="Times New Roman"/>
          <w:b w:val="false"/>
          <w:i w:val="false"/>
          <w:color w:val="000000"/>
          <w:sz w:val="22"/>
        </w:rPr>
        <w:t>, a physician associate, an advanced registered nurse practitioner, a funeral director and a county recorder.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641—97.4</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registration of fetal death—up to one year. </w:t>
      </w:r>
      <w:r>
        <w:rPr>
          <w:rFonts w:ascii="Times New Roman" w:hAnsi="Times New Roman"/>
          <w:b w:val="false"/>
          <w:i w:val="false"/>
          <w:color w:val="000000"/>
          <w:sz w:val="22"/>
        </w:rPr>
        <w:t>Iowa fetal death records submitted for registration within one year from the date of fetal death shall be prepared on the standard Certificate of Fetal Death form. A fetal death certificate shall not be filed after one year from the date of the event. A fetal death record shall not be entered into the electronic death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val="false"/>
          <w:color w:val="000000"/>
          <w:sz w:val="22"/>
        </w:rPr>
        <w:t>When a fetal death occurs in an institution, the person in charge of the institution or the person’s designee, the physician in attendance at or after delivery, or a medical examiner may assist in preparation of the Certificate of Fetal Death form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val="false"/>
          <w:color w:val="000000"/>
          <w:sz w:val="22"/>
        </w:rPr>
        <w:t>In cases in which a fetus has reached the gestation period of 20 completed weeks or more or a weight of 350 grams or more, a Certificate of Fetal Death form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and maintained solely at the state registrar’s office;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Filed within three days after delivery and prior to final disposition of the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97.4(3)</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dead human fetus is found is the county of death. The certificate of fetal death shall be filed within three days after the fetus is found.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97.4(4)</w:t>
      </w:r>
      <w:r>
        <w:rPr>
          <w:rFonts w:ascii="Times New Roman" w:hAnsi="Times New Roman"/>
          <w:b w:val="false"/>
          <w:i w:val="false"/>
          <w:color w:val="000000"/>
          <w:sz w:val="22"/>
        </w:rPr>
        <w:t> </w:t>
      </w:r>
      <w:r>
        <w:rPr>
          <w:rFonts w:ascii="Times New Roman" w:hAnsi="Times New Roman"/>
          <w:b w:val="false"/>
          <w:i w:val="false"/>
          <w:color w:val="000000"/>
          <w:sz w:val="22"/>
        </w:rPr>
        <w:t>If the fetal death occurs in a moving conveyance, the county in which the fetus is first removed from the conveyance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97.4(5)</w:t>
      </w:r>
      <w:r>
        <w:rPr>
          <w:rFonts w:ascii="Times New Roman" w:hAnsi="Times New Roman"/>
          <w:b w:val="false"/>
          <w:i w:val="false"/>
          <w:color w:val="000000"/>
          <w:sz w:val="22"/>
        </w:rPr>
        <w:t> </w:t>
      </w:r>
      <w:r>
        <w:rPr>
          <w:rFonts w:ascii="Times New Roman" w:hAnsi="Times New Roman"/>
          <w:b w:val="false"/>
          <w:i w:val="false"/>
          <w:color w:val="000000"/>
          <w:sz w:val="22"/>
        </w:rPr>
        <w:t>A blank Certificate of Fetal Death form shall be used only by the state registrar or authorized agents.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641—97.5</w:t>
      </w:r>
      <w:r>
        <w:rPr>
          <w:rFonts w:ascii="Times New Roman" w:hAnsi="Times New Roman"/>
          <w:b/>
          <w:i w:val="false"/>
          <w:color w:val="000000"/>
          <w:sz w:val="22"/>
        </w:rPr>
        <w:t xml:space="preserve">(144) </w:t>
      </w:r>
      <w:r>
        <w:rPr>
          <w:rFonts w:ascii="Times New Roman" w:hAnsi="Times New Roman"/>
          <w:b/>
          <w:i w:val="false"/>
          <w:color w:val="000000"/>
          <w:sz w:val="22"/>
        </w:rPr>
        <w:t xml:space="preserve">Preparation of the certificate of death or fetal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97.5(1)</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a dead human body or fetus for the purposes of disposition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the personal data from the next of kin or the best-qualified person or source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the medical certification of cause of death from the medical certifier;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three days after the death and prior to final disposition of the dead human body, file the completed certificate of death using the electronic statewide vital records system or, within three days after delivery and prior to disposition of the fetus, file the completed certificate of fetal death with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97.5(2)</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the dead human body for the purposes of disposition shall prepare the certificate of death using the electronic statewide vital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97.5(3)</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the dead fetus for the purposes of disposition shall prepare the certificate of fetal death on the official form and paper issued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97.5(4)</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state registrar, a certificate of fetal death will be accepted for filing and registration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names are documented in the spaces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items are completed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alterations or erasures are apparent;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signatures are original and genuine and are in dark blue or black 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certificate presented for registration is on the approved form and official paper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Data are consistent with the facts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form is prepared in conformity with these rules or instructions issued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641—97.6</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certification of death. </w:t>
      </w:r>
      <w:r>
        <w:rPr>
          <w:rFonts w:ascii="Times New Roman" w:hAnsi="Times New Roman"/>
          <w:b w:val="false"/>
          <w:i w:val="false"/>
          <w:color w:val="000000"/>
          <w:sz w:val="22"/>
        </w:rPr>
        <w:t>The funeral director shall submit the completed fact of death portion of the certificate of death to the physician, physician associate, advanced registered nurse practitioner, or medical examiner for the completion of the medical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val="false"/>
          <w:color w:val="000000"/>
          <w:sz w:val="22"/>
        </w:rPr>
        <w:t>For a natural cause of death, the physician, physician associate or advanced registered nurse practitioner in charge of the patient’s care for the illness or condition that resulted in death shall complete and sign the medical certification within 72 hours after receipt of the death certificate from the funeral director or individual who initially assumed custody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val="false"/>
          <w:color w:val="000000"/>
          <w:sz w:val="22"/>
        </w:rPr>
        <w:t>If there is a non-natural cause of death, the state medical examiner or county medical examiner shall be notified and shall conduct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val="false"/>
          <w:color w:val="000000"/>
          <w:sz w:val="22"/>
        </w:rPr>
        <w:t>If the decedent was an infant or child and the cause of death is not known, a medical examiner shall conduct an investigation and an autopsy shall be performed as necessary to exclude a non-natural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investigation into a death, the state medical examiner or county medical examiner determines that a preexisting natural disease or condition was the likely cause of death and that the death does not affect the public interest as described in Iowa Code section </w:t>
      </w:r>
      <w:hyperlink r:id="rId7">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the state medical examiner or county medical examiner may elect to defer to the physician, physician associate or advanced registered nurse practitioner in charge of the patient’s preexisting condition the certification of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val="false"/>
          <w:color w:val="000000"/>
          <w:sz w:val="22"/>
        </w:rPr>
        <w:t>When an investigation is required by the state medical examiner or county medical examiner, the state medical examiner or county medical examiner shall investigate the cause and manner of death and shall complete and sign the medical certification within 72 hours after determination of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97.6(6)</w:t>
      </w:r>
      <w:r>
        <w:rPr>
          <w:rFonts w:ascii="Times New Roman" w:hAnsi="Times New Roman"/>
          <w:b w:val="false"/>
          <w:i w:val="false"/>
          <w:color w:val="000000"/>
          <w:sz w:val="22"/>
        </w:rPr>
        <w:t> </w:t>
      </w:r>
      <w:r>
        <w:rPr>
          <w:rFonts w:ascii="Times New Roman" w:hAnsi="Times New Roman"/>
          <w:b w:val="false"/>
          <w:i w:val="false"/>
          <w:color w:val="000000"/>
          <w:sz w:val="22"/>
        </w:rPr>
        <w:t>The medical certifier completing the medical certification of cause of death shall attest to the accuracy of the medical certification either by signature or by an electronic process approved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641—97.7</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certification of fetal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97.7(1)</w:t>
      </w:r>
      <w:r>
        <w:rPr>
          <w:rFonts w:ascii="Times New Roman" w:hAnsi="Times New Roman"/>
          <w:b w:val="false"/>
          <w:i w:val="false"/>
          <w:color w:val="000000"/>
          <w:sz w:val="22"/>
        </w:rPr>
        <w:t> </w:t>
      </w:r>
      <w:r>
        <w:rPr>
          <w:rFonts w:ascii="Times New Roman" w:hAnsi="Times New Roman"/>
          <w:b w:val="false"/>
          <w:i w:val="false"/>
          <w:color w:val="000000"/>
          <w:sz w:val="22"/>
        </w:rPr>
        <w:t>The medical certification for a fetal death shall be completed by the physician in attendance at or after delivery of the fetus within 72 hours after delivery, except when an investigation is required by a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97.7(2)</w:t>
      </w:r>
      <w:r>
        <w:rPr>
          <w:rFonts w:ascii="Times New Roman" w:hAnsi="Times New Roman"/>
          <w:b w:val="false"/>
          <w:i w:val="false"/>
          <w:color w:val="000000"/>
          <w:sz w:val="22"/>
        </w:rPr>
        <w:t> </w:t>
      </w:r>
      <w:r>
        <w:rPr>
          <w:rFonts w:ascii="Times New Roman" w:hAnsi="Times New Roman"/>
          <w:b w:val="false"/>
          <w:i w:val="false"/>
          <w:color w:val="000000"/>
          <w:sz w:val="22"/>
        </w:rPr>
        <w:t>When an investigation by a medical examiner is required, or when a fetal death occurs without medical attendance upon the mother at or after delivery, the medical examiner shall investigate the cause of fetal death and shall complete the medical certification of the fetal death within 72 hours after taking charge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97.7(3)</w:t>
      </w:r>
      <w:r>
        <w:rPr>
          <w:rFonts w:ascii="Times New Roman" w:hAnsi="Times New Roman"/>
          <w:b w:val="false"/>
          <w:i w:val="false"/>
          <w:color w:val="000000"/>
          <w:sz w:val="22"/>
        </w:rPr>
        <w:t> </w:t>
      </w:r>
      <w:r>
        <w:rPr>
          <w:rFonts w:ascii="Times New Roman" w:hAnsi="Times New Roman"/>
          <w:b w:val="false"/>
          <w:i w:val="false"/>
          <w:color w:val="000000"/>
          <w:sz w:val="22"/>
        </w:rPr>
        <w:t>The physician or medical examiner completing the medical certification of fetal death shall attest to the accuracy either by signature or by an electronic process approved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641—97.8</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97.8(1)</w:t>
      </w:r>
      <w:r>
        <w:rPr>
          <w:rFonts w:ascii="Times New Roman" w:hAnsi="Times New Roman"/>
          <w:b w:val="false"/>
          <w:i w:val="false"/>
          <w:color w:val="000000"/>
          <w:sz w:val="22"/>
        </w:rPr>
        <w:t> </w:t>
      </w:r>
      <w:r>
        <w:rPr>
          <w:rFonts w:ascii="Times New Roman" w:hAnsi="Times New Roman"/>
          <w:b w:val="false"/>
          <w:i w:val="false"/>
          <w:color w:val="000000"/>
          <w:sz w:val="22"/>
        </w:rPr>
        <w:t>Only an Iowa-licensed physician, physician associate, advanced registered nurse practitioner, or medical examiner shall certify to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97.8(2)</w:t>
      </w:r>
      <w:r>
        <w:rPr>
          <w:rFonts w:ascii="Times New Roman" w:hAnsi="Times New Roman"/>
          <w:b w:val="false"/>
          <w:i w:val="false"/>
          <w:color w:val="000000"/>
          <w:sz w:val="22"/>
        </w:rPr>
        <w:t> </w:t>
      </w:r>
      <w:r>
        <w:rPr>
          <w:rFonts w:ascii="Times New Roman" w:hAnsi="Times New Roman"/>
          <w:b w:val="false"/>
          <w:i w:val="false"/>
          <w:color w:val="000000"/>
          <w:sz w:val="22"/>
        </w:rPr>
        <w:t>If the medical certifier is unavailable, an alternate Iowa-licensed medical certifier may complete the cause and manner of death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alternate medical certifier has access to the medical history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alternate medical certifier views the deceased at the time of death or after death has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death is from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97.8(3)</w:t>
      </w:r>
      <w:r>
        <w:rPr>
          <w:rFonts w:ascii="Times New Roman" w:hAnsi="Times New Roman"/>
          <w:b w:val="false"/>
          <w:i w:val="false"/>
          <w:color w:val="000000"/>
          <w:sz w:val="22"/>
        </w:rPr>
        <w:t> </w:t>
      </w:r>
      <w:r>
        <w:rPr>
          <w:rFonts w:ascii="Times New Roman" w:hAnsi="Times New Roman"/>
          <w:b w:val="false"/>
          <w:i w:val="false"/>
          <w:color w:val="000000"/>
          <w:sz w:val="22"/>
        </w:rPr>
        <w:t>In all other cases in which a medical certifier is unavailable, the medical examiner shall prepare the medical certification of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97.8(4)</w:t>
      </w:r>
      <w:r>
        <w:rPr>
          <w:rFonts w:ascii="Times New Roman" w:hAnsi="Times New Roman"/>
          <w:b w:val="false"/>
          <w:i w:val="false"/>
          <w:color w:val="000000"/>
          <w:sz w:val="22"/>
        </w:rPr>
        <w:t> </w:t>
      </w:r>
      <w:r>
        <w:rPr>
          <w:rFonts w:ascii="Times New Roman" w:hAnsi="Times New Roman"/>
          <w:b w:val="false"/>
          <w:i w:val="false"/>
          <w:color w:val="000000"/>
          <w:sz w:val="22"/>
        </w:rPr>
        <w:t>The medical certifier who signs the medical certification on a certificate of death shall be entitled to view the death record through the electronic statewide vital records system for up to one year from the date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641—97.9</w:t>
      </w:r>
      <w:r>
        <w:rPr>
          <w:rFonts w:ascii="Times New Roman" w:hAnsi="Times New Roman"/>
          <w:b/>
          <w:i w:val="false"/>
          <w:color w:val="000000"/>
          <w:sz w:val="22"/>
        </w:rPr>
        <w:t xml:space="preserve">(144) </w:t>
      </w:r>
      <w:r>
        <w:rPr>
          <w:rFonts w:ascii="Times New Roman" w:hAnsi="Times New Roman"/>
          <w:b/>
          <w:i w:val="false"/>
          <w:color w:val="000000"/>
          <w:sz w:val="22"/>
        </w:rPr>
        <w:t xml:space="preserve">Report of autopsy findings.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97.9(1)</w:t>
      </w:r>
      <w:r>
        <w:rPr>
          <w:rFonts w:ascii="Times New Roman" w:hAnsi="Times New Roman"/>
          <w:b w:val="false"/>
          <w:i w:val="false"/>
          <w:color w:val="000000"/>
          <w:sz w:val="22"/>
        </w:rPr>
        <w:t> </w:t>
      </w:r>
      <w:r>
        <w:rPr>
          <w:rFonts w:ascii="Times New Roman" w:hAnsi="Times New Roman"/>
          <w:b w:val="false"/>
          <w:i w:val="false"/>
          <w:color w:val="000000"/>
          <w:sz w:val="22"/>
        </w:rPr>
        <w:t>In cases in which an autopsy is to be performed, it shall not be necessary to defer the entry of the cause of death pending a full report of microscopic or toxicological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97.9(2)</w:t>
      </w:r>
      <w:r>
        <w:rPr>
          <w:rFonts w:ascii="Times New Roman" w:hAnsi="Times New Roman"/>
          <w:b w:val="false"/>
          <w:i w:val="false"/>
          <w:color w:val="000000"/>
          <w:sz w:val="22"/>
        </w:rPr>
        <w:t> </w:t>
      </w:r>
      <w:r>
        <w:rPr>
          <w:rFonts w:ascii="Times New Roman" w:hAnsi="Times New Roman"/>
          <w:b w:val="false"/>
          <w:i w:val="false"/>
          <w:color w:val="000000"/>
          <w:sz w:val="22"/>
        </w:rPr>
        <w:t>In any case in which the gross findings of an autopsy are inadequate to determine the cause of death, the medical certifier shall mark the cause of death as “pending investigation” on the certificate and sign the certificate. Immediately after the medical data necessary for determining the cause of death have been made known, the medical certifier shall provide to the state registrar a signed statement that identifies the decedent and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97.9(3)</w:t>
      </w:r>
      <w:r>
        <w:rPr>
          <w:rFonts w:ascii="Times New Roman" w:hAnsi="Times New Roman"/>
          <w:b w:val="false"/>
          <w:i w:val="false"/>
          <w:color w:val="000000"/>
          <w:sz w:val="22"/>
        </w:rPr>
        <w:t> </w:t>
      </w:r>
      <w:r>
        <w:rPr>
          <w:rFonts w:ascii="Times New Roman" w:hAnsi="Times New Roman"/>
          <w:b w:val="false"/>
          <w:i w:val="false"/>
          <w:color w:val="000000"/>
          <w:sz w:val="22"/>
        </w:rPr>
        <w:t>In any case in which the autopsy findings significantly change the medical diagnosis of cause of death, the medical certifier shall make a report of the cause of death and submit it to the state registrar as soon as the findings are available. Such report shall be a signed statement that identifies the decedent and the revised cause of death. Such report shall amend the original certificate, and the report shall be maintained in a sealed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641—97.10</w:t>
      </w:r>
      <w:r>
        <w:rPr>
          <w:rFonts w:ascii="Times New Roman" w:hAnsi="Times New Roman"/>
          <w:b/>
          <w:i w:val="false"/>
          <w:color w:val="000000"/>
          <w:sz w:val="22"/>
        </w:rPr>
        <w:t xml:space="preserve">(144) </w:t>
      </w:r>
      <w:r>
        <w:rPr>
          <w:rFonts w:ascii="Times New Roman" w:hAnsi="Times New Roman"/>
          <w:b/>
          <w:i w:val="false"/>
          <w:color w:val="000000"/>
          <w:sz w:val="22"/>
        </w:rPr>
        <w:t xml:space="preserve">Extension of time. </w:t>
      </w:r>
      <w:r>
        <w:rPr>
          <w:rFonts w:ascii="Times New Roman" w:hAnsi="Times New Roman"/>
          <w:b w:val="false"/>
          <w:i w:val="false"/>
          <w:color w:val="000000"/>
          <w:sz w:val="22"/>
        </w:rPr>
        <w:t>If the medical certifier is unable to complete the medical certification of cause of death or if the funeral director is unable to obtain the personal information about the deceased within the statutory time period, the funeral director shall file the certificate of death or fetal death with all available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97.10(1)</w:t>
      </w:r>
      <w:r>
        <w:rPr>
          <w:rFonts w:ascii="Times New Roman" w:hAnsi="Times New Roman"/>
          <w:b w:val="false"/>
          <w:i w:val="false"/>
          <w:color w:val="000000"/>
          <w:sz w:val="22"/>
        </w:rPr>
        <w:t> </w:t>
      </w:r>
      <w:r>
        <w:rPr>
          <w:rFonts w:ascii="Times New Roman" w:hAnsi="Times New Roman"/>
          <w:b w:val="false"/>
          <w:i w:val="false"/>
          <w:color w:val="000000"/>
          <w:sz w:val="22"/>
        </w:rPr>
        <w:t>Such certificate of death or fetal death shall be considered appropriate authority to issue a burial-transit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97.10(2)</w:t>
      </w:r>
      <w:r>
        <w:rPr>
          <w:rFonts w:ascii="Times New Roman" w:hAnsi="Times New Roman"/>
          <w:b w:val="false"/>
          <w:i w:val="false"/>
          <w:color w:val="000000"/>
          <w:sz w:val="22"/>
        </w:rPr>
        <w:t> </w:t>
      </w:r>
      <w:r>
        <w:rPr>
          <w:rFonts w:ascii="Times New Roman" w:hAnsi="Times New Roman"/>
          <w:b w:val="false"/>
          <w:i w:val="false"/>
          <w:color w:val="000000"/>
          <w:sz w:val="22"/>
        </w:rPr>
        <w:t>As soon as possible, the person responsible for completing the information missing from the original certificate shall report the missing information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641—97.11</w:t>
      </w:r>
      <w:r>
        <w:rPr>
          <w:rFonts w:ascii="Times New Roman" w:hAnsi="Times New Roman"/>
          <w:b/>
          <w:i w:val="false"/>
          <w:color w:val="000000"/>
          <w:sz w:val="22"/>
        </w:rPr>
        <w:t xml:space="preserve">(144) </w:t>
      </w:r>
      <w:r>
        <w:rPr>
          <w:rFonts w:ascii="Times New Roman" w:hAnsi="Times New Roman"/>
          <w:b/>
          <w:i w:val="false"/>
          <w:color w:val="000000"/>
          <w:sz w:val="22"/>
        </w:rPr>
        <w:t xml:space="preserve">Removal of a dead human body or 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97.11(1)</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body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physician associate, or advanced registered nurse practitioner and receive confirmation the death was from natural causes and that the physician, physician associate, or advanced registered nurse practitioner will assume responsibility for certifying the cause of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body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97.11(2)</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fetus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and receive confirmation the death was from natural causes and that the physician will assume responsibility for certifying to the cause of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fetus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other than a funeral director, medical examiner, or emergency medical service provider who assumes custody of a dead human body or fetus shall first contact the state registrar for instructions for registering the certificate of death or fetal death. After review and registration of the certificate of death or fetal death, the state registrar will issue a burial-transit permit pursuant to rule </w:t>
      </w:r>
      <w:hyperlink r:id="rId8">
        <w:r>
          <w:rPr>
            <w:rStyle w:val="Hyperlink"/>
            <w:rFonts w:ascii="Times New Roman" w:hAnsi="Times New Roman"/>
            <w:b w:val="false"/>
            <w:i w:val="false"/>
            <w:color w:val="000000"/>
            <w:sz w:val="22"/>
          </w:rPr>
          <w:t>641—97.12</w:t>
        </w:r>
      </w:hyperlink>
      <w:r>
        <w:rPr>
          <w:rFonts w:ascii="Times New Roman" w:hAnsi="Times New Roman"/>
          <w:b w:val="false"/>
          <w:i w:val="false"/>
          <w:color w:val="000000"/>
          <w:sz w:val="22"/>
        </w:rPr>
        <w:t>(144) prior to removal of the dead human body or fetus from the place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641—97.12</w:t>
      </w:r>
      <w:r>
        <w:rPr>
          <w:rFonts w:ascii="Times New Roman" w:hAnsi="Times New Roman"/>
          <w:b/>
          <w:i w:val="false"/>
          <w:color w:val="000000"/>
          <w:sz w:val="22"/>
        </w:rPr>
        <w:t xml:space="preserve">(144) </w:t>
      </w:r>
      <w:r>
        <w:rPr>
          <w:rFonts w:ascii="Times New Roman" w:hAnsi="Times New Roman"/>
          <w:b/>
          <w:i w:val="false"/>
          <w:color w:val="000000"/>
          <w:sz w:val="22"/>
        </w:rPr>
        <w:t xml:space="preserve">Burial-transit permit. </w:t>
      </w:r>
      <w:r>
        <w:rPr>
          <w:rFonts w:ascii="Times New Roman" w:hAnsi="Times New Roman"/>
          <w:b w:val="false"/>
          <w:i w:val="false"/>
          <w:color w:val="000000"/>
          <w:sz w:val="22"/>
        </w:rPr>
        <w:t xml:space="preserve">If a person other than a funeral director, medical examiner, or emergency medical service assumes custody of a dead human body or fetus, the person is mandated to secure a burial-transit permit pursuant to rule </w:t>
      </w:r>
      <w:hyperlink r:id="rId9">
        <w:r>
          <w:rPr>
            <w:rStyle w:val="Hyperlink"/>
            <w:rFonts w:ascii="Times New Roman" w:hAnsi="Times New Roman"/>
            <w:b w:val="false"/>
            <w:i w:val="false"/>
            <w:color w:val="000000"/>
            <w:sz w:val="22"/>
          </w:rPr>
          <w:t>641—97.11</w:t>
        </w:r>
      </w:hyperlink>
      <w:r>
        <w:rPr>
          <w:rFonts w:ascii="Times New Roman" w:hAnsi="Times New Roman"/>
          <w:b w:val="false"/>
          <w:i w:val="false"/>
          <w:color w:val="000000"/>
          <w:sz w:val="22"/>
        </w:rPr>
        <w:t xml:space="preserve">(144) and Iowa Code section </w:t>
      </w:r>
      <w:hyperlink r:id="rId10">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 xml:space="preserve">. Pursuant to Iowa Code chapter </w:t>
      </w:r>
      <w:hyperlink r:id="rId1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an unlicensed employee of the funeral establishment shall be considered an agent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97.12(1)</w:t>
      </w:r>
      <w:r>
        <w:rPr>
          <w:rFonts w:ascii="Times New Roman" w:hAnsi="Times New Roman"/>
          <w:b w:val="false"/>
          <w:i w:val="false"/>
          <w:color w:val="000000"/>
          <w:sz w:val="22"/>
        </w:rPr>
        <w:t> </w:t>
      </w:r>
      <w:r>
        <w:rPr>
          <w:rFonts w:ascii="Times New Roman" w:hAnsi="Times New Roman"/>
          <w:b w:val="false"/>
          <w:i w:val="false"/>
          <w:color w:val="000000"/>
          <w:sz w:val="22"/>
        </w:rPr>
        <w:t>The burial-transit permit will be issued upon a form prescribed by the state registrar and will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death was from a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location of the cemetery, crematory, or other location where final disposition of the remains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method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a certificate of death or fetal death has been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That permission is granted to inter, remove or otherwise dispose of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97.12(2)</w:t>
      </w:r>
      <w:r>
        <w:rPr>
          <w:rFonts w:ascii="Times New Roman" w:hAnsi="Times New Roman"/>
          <w:b w:val="false"/>
          <w:i w:val="false"/>
          <w:color w:val="000000"/>
          <w:sz w:val="22"/>
        </w:rPr>
        <w:t> </w:t>
      </w:r>
      <w:r>
        <w:rPr>
          <w:rFonts w:ascii="Times New Roman" w:hAnsi="Times New Roman"/>
          <w:b w:val="false"/>
          <w:i w:val="false"/>
          <w:color w:val="000000"/>
          <w:sz w:val="22"/>
        </w:rPr>
        <w:t>To be valid, a burial-transit permit will not be issued prior to the presentation of the completed and registered certificate of death or certificate of fetal death. The burial-transit permit must be issued by the county medical examiner, a funeral director, or the state registrar. The burial-transit permit shall be obtained prior to the removal of the dead human body or fetus from the place of death and shall accompany the body or fetus to the place of final disposition. The person responsible for obtaining the burial-transit permit shall provide the permit to the person in charge of the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97.12(3)</w:t>
      </w:r>
      <w:r>
        <w:rPr>
          <w:rFonts w:ascii="Times New Roman" w:hAnsi="Times New Roman"/>
          <w:b w:val="false"/>
          <w:i w:val="false"/>
          <w:color w:val="000000"/>
          <w:sz w:val="22"/>
        </w:rPr>
        <w:t> </w:t>
      </w:r>
      <w:r>
        <w:rPr>
          <w:rFonts w:ascii="Times New Roman" w:hAnsi="Times New Roman"/>
          <w:b w:val="false"/>
          <w:i w:val="false"/>
          <w:color w:val="000000"/>
          <w:sz w:val="22"/>
        </w:rPr>
        <w:t>The person in charge of the place of final disposition shall ensure that all of the requirements of this chapter relative to the burial-transit permit have been complied with before the final disposition of the remains. Such person shall retain the burial-transit permit for a period of one year from the date of the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97.12(4)</w:t>
      </w:r>
      <w:r>
        <w:rPr>
          <w:rFonts w:ascii="Times New Roman" w:hAnsi="Times New Roman"/>
          <w:b w:val="false"/>
          <w:i w:val="false"/>
          <w:color w:val="000000"/>
          <w:sz w:val="22"/>
        </w:rPr>
        <w:t> </w:t>
      </w:r>
      <w:r>
        <w:rPr>
          <w:rFonts w:ascii="Times New Roman" w:hAnsi="Times New Roman"/>
          <w:b w:val="false"/>
          <w:i w:val="false"/>
          <w:color w:val="000000"/>
          <w:sz w:val="22"/>
        </w:rPr>
        <w:t xml:space="preserve">A burial-transit permit will not be issued to a person other than a licensed funeral director if the death or fetal death was caused by a suspected or known “communicable disease” as defined by Iowa Code section </w:t>
      </w:r>
      <w:hyperlink r:id="rId12">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97.12(5)</w:t>
      </w:r>
      <w:r>
        <w:rPr>
          <w:rFonts w:ascii="Times New Roman" w:hAnsi="Times New Roman"/>
          <w:b w:val="false"/>
          <w:i w:val="false"/>
          <w:color w:val="000000"/>
          <w:sz w:val="22"/>
        </w:rPr>
        <w:t> </w:t>
      </w:r>
      <w:r>
        <w:rPr>
          <w:rFonts w:ascii="Times New Roman" w:hAnsi="Times New Roman"/>
          <w:b w:val="false"/>
          <w:i w:val="false"/>
          <w:color w:val="000000"/>
          <w:sz w:val="22"/>
        </w:rPr>
        <w:t>In cases in which a fetus has reached the gestation period of 20 completed weeks or more, or a weight of 350 grams or more, a burial-transit permit will be obtained prior to the final disposition of the fetus.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641—97.13</w:t>
      </w:r>
      <w:r>
        <w:rPr>
          <w:rFonts w:ascii="Times New Roman" w:hAnsi="Times New Roman"/>
          <w:b/>
          <w:i w:val="false"/>
          <w:color w:val="000000"/>
          <w:sz w:val="22"/>
        </w:rPr>
        <w:t xml:space="preserve">(144) </w:t>
      </w:r>
      <w:r>
        <w:rPr>
          <w:rFonts w:ascii="Times New Roman" w:hAnsi="Times New Roman"/>
          <w:b/>
          <w:i w:val="false"/>
          <w:color w:val="000000"/>
          <w:sz w:val="22"/>
        </w:rPr>
        <w:t xml:space="preserve">Transportation and disposition of a dead human body or 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97.13(1)</w:t>
      </w:r>
      <w:r>
        <w:rPr>
          <w:rFonts w:ascii="Times New Roman" w:hAnsi="Times New Roman"/>
          <w:b w:val="false"/>
          <w:i w:val="false"/>
          <w:color w:val="000000"/>
          <w:sz w:val="22"/>
        </w:rPr>
        <w:t> </w:t>
      </w:r>
      <w:r>
        <w:rPr>
          <w:rFonts w:ascii="Times New Roman" w:hAnsi="Times New Roman"/>
          <w:b w:val="false"/>
          <w:i w:val="false"/>
          <w:color w:val="000000"/>
          <w:sz w:val="22"/>
        </w:rPr>
        <w:t>A dead human body or fetus shall be transported only after enclosure in a container for transfer that will control odor and prevent leakage of body fluids unless the body or fetus has been embalmed or is being transported by a licensed funeral director, emergency medical service provider or medical examiner. The transport of a dead human body or fetus shall be in a manner that is respectful of the dead, the feelings of relatives, and the sensibilities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97.13(2)</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transported from the state for final disposition, the burial-transit permit shall accompany the body or fetus. When a dead human body or fetus is brought into the state for final disposition, a burial-transit permit under the law of the state in which the death occurred shall accompany the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97.13(3)</w:t>
      </w:r>
      <w:r>
        <w:rPr>
          <w:rFonts w:ascii="Times New Roman" w:hAnsi="Times New Roman"/>
          <w:b w:val="false"/>
          <w:i w:val="false"/>
          <w:color w:val="000000"/>
          <w:sz w:val="22"/>
        </w:rPr>
        <w:t> </w:t>
      </w:r>
      <w:r>
        <w:rPr>
          <w:rFonts w:ascii="Times New Roman" w:hAnsi="Times New Roman"/>
          <w:b w:val="false"/>
          <w:i w:val="false"/>
          <w:color w:val="000000"/>
          <w:sz w:val="22"/>
        </w:rPr>
        <w:t>If the final disposition of a dead human body or fetus is cremation at a licensed cremation establishment, scattering of cremated remains shall be subject to the local ordinances of the political subdivision and any and all regulations of the cemetery, if applicable, in which the scattering site is located. However, such local ordinances and cemetery regulations shall not allow the scattering of cremated remains upon public property or upon private property without the property owner’s consent. In the absence of an applicable local ordinance or cemetery regulation, the scattering of cremated remains shall not be allowed upon any public property or upon private property without the property owner’s consent. Cremation shall be considered final disposition by the department, and no further burial-transit permit shall be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97.13(4)</w:t>
      </w:r>
      <w:r>
        <w:rPr>
          <w:rFonts w:ascii="Times New Roman" w:hAnsi="Times New Roman"/>
          <w:b w:val="false"/>
          <w:i w:val="false"/>
          <w:color w:val="000000"/>
          <w:sz w:val="22"/>
        </w:rPr>
        <w:t> </w:t>
      </w:r>
      <w:r>
        <w:rPr>
          <w:rFonts w:ascii="Times New Roman" w:hAnsi="Times New Roman"/>
          <w:b w:val="false"/>
          <w:i w:val="false"/>
          <w:color w:val="000000"/>
          <w:sz w:val="22"/>
        </w:rPr>
        <w:t>If the final disposition of a dead human body or fetus is burial, interment, or entombment, local ordinances of the political subdivision in which the final disposition site is located and any and all regulations of the cemetery, if applicable, shall apply. In the absence of an applicable local ordinance, the depth of the grave at its shallowest point shall be at least three feet from the top of the burial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641—97.14</w:t>
      </w:r>
      <w:r>
        <w:rPr>
          <w:rFonts w:ascii="Times New Roman" w:hAnsi="Times New Roman"/>
          <w:b/>
          <w:i w:val="false"/>
          <w:color w:val="000000"/>
          <w:sz w:val="22"/>
        </w:rPr>
        <w:t xml:space="preserve">(144) </w:t>
      </w:r>
      <w:r>
        <w:rPr>
          <w:rFonts w:ascii="Times New Roman" w:hAnsi="Times New Roman"/>
          <w:b/>
          <w:i w:val="false"/>
          <w:color w:val="000000"/>
          <w:sz w:val="22"/>
        </w:rPr>
        <w:t xml:space="preserve">Disinterment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97.14(1)</w:t>
      </w:r>
      <w:r>
        <w:rPr>
          <w:rFonts w:ascii="Times New Roman" w:hAnsi="Times New Roman"/>
          <w:b w:val="false"/>
          <w:i w:val="false"/>
          <w:color w:val="000000"/>
          <w:sz w:val="22"/>
        </w:rPr>
        <w:t> </w:t>
      </w:r>
      <w:r>
        <w:rPr>
          <w:rFonts w:ascii="Times New Roman" w:hAnsi="Times New Roman"/>
          <w:b w:val="false"/>
          <w:i w:val="false"/>
          <w:color w:val="000000"/>
          <w:sz w:val="22"/>
        </w:rPr>
        <w:t>A disinterment permit may be issued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human body or fetus, without a court order, shall be allowed for the purpose of autopsy or reburial only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Disinterment of cremated remains, without a court order, shall be allowed but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without a court order, will not issue a permit without the consent of the person authorized to control the decedent’s remains under Iowa Code section </w:t>
      </w:r>
      <w:hyperlink r:id="rId13">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body or fetus for the purpose of reburial may be allowed by court order only upon a showing of substantial benefit to the public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Disinterment of a dead body or fetus for the purpose of autopsy by court order shall be allowed only when reasonable cause is shown that someone is criminally or civilly responsible for such death, after hearing, upon reasonable notice prescribed by the court to the person authorized to control the decedent’s remains under Iowa Code section </w:t>
      </w:r>
      <w:hyperlink r:id="rId14">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body or fetus for the purpose of cremation may be allowed by court order if supervised by a funeral director. Subsequent to the disinterment, cremation of the body will only be allowed upon a determination by the state or county medical examiner that the death was due to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for disinterment will be issued by the state registrar according to rules adopted pursuant to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when ordered by the district court of the county in which such body is buried. A person authorized to control final disposition of a decedent’s remains under Iowa Code section </w:t>
      </w:r>
      <w:hyperlink r:id="rId16">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is an interested person and shall be entitled to notice prior to the obtaining of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97.14(3)</w:t>
      </w:r>
      <w:r>
        <w:rPr>
          <w:rFonts w:ascii="Times New Roman" w:hAnsi="Times New Roman"/>
          <w:b w:val="false"/>
          <w:i w:val="false"/>
          <w:color w:val="000000"/>
          <w:sz w:val="22"/>
        </w:rPr>
        <w:t> </w:t>
      </w:r>
      <w:r>
        <w:rPr>
          <w:rFonts w:ascii="Times New Roman" w:hAnsi="Times New Roman"/>
          <w:b w:val="false"/>
          <w:i w:val="false"/>
          <w:color w:val="000000"/>
          <w:sz w:val="22"/>
        </w:rPr>
        <w:t>Disinterment permits are mandated for any relocation above ground or below ground of remains from the original site of interment. Disinterment permits will be valid for 30 days after the date the permit is signed by the state registrar. Disinterment permits are issued on a form as prescribed by the state registrar with copies to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copy filed with the sexton or person in charge of the cemetery in which disinterment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to be used during transportation of the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copy filed with the sexton or person in charge of the cemetery of reburial;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copy to be returned to the state registrar by the funeral director within ten days after the date of disinterment.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97.14(4)</w:t>
      </w:r>
      <w:r>
        <w:rPr>
          <w:rFonts w:ascii="Times New Roman" w:hAnsi="Times New Roman"/>
          <w:b w:val="false"/>
          <w:i w:val="false"/>
          <w:color w:val="000000"/>
          <w:sz w:val="22"/>
        </w:rPr>
        <w:t> </w:t>
      </w:r>
      <w:r>
        <w:rPr>
          <w:rFonts w:ascii="Times New Roman" w:hAnsi="Times New Roman"/>
          <w:b w:val="false"/>
          <w:i w:val="false"/>
          <w:color w:val="000000"/>
          <w:sz w:val="22"/>
        </w:rPr>
        <w:t>When removed from the vault for final burial, a dead human body or fetus, properly embalmed and placed in a receiving vault, shall not be considered a disinterment.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persons who are competent adults may acquire a disinterment permit without a court order pursuant to Iowa Code sections </w:t>
      </w:r>
      <w:hyperlink r:id="rId17">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designee, or alternate designee, acting pursuant to the decedent’s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surviving spouse of the decedent, if not legally separated from the decedent,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surviving child of the decedent or, if there is more than one surviving child, a majority of the surviving children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surviving parent or parents of the decedent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surviving grandchild of the decedent or, if there is more than one surviving grandchild, a majority of the surviving grandchildren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surviving sibling of the decedent or, if there is more than one surviving sibling, a majority of the surviving siblings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surviving grandparent of the decedent or, if there is more than one surviving grandparent, a majority of the surviving grandparents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in the next degree of kinship to the decedent in the order named by law to inherit the estate of the decedent under the rules of inheritance for intestate succession or, if there is more than one such surviving person, a majority of such surviving persons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person who knows the identity of the decedent and who signs an affidavit affirming the identity of the decedent and assuming the right to control final disposition of the decedent’s remains and the responsibility to pay any expense associated with such final disposition. A person who affirms the identity of the decedent pursuant to this paragraph is liable for all damages that result, directly or indirectly, from that affirmation.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county medical examiner, if responsible for the decedent’s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97.14(6)</w:t>
      </w:r>
      <w:r>
        <w:rPr>
          <w:rFonts w:ascii="Times New Roman" w:hAnsi="Times New Roman"/>
          <w:b w:val="false"/>
          <w:i w:val="false"/>
          <w:color w:val="000000"/>
          <w:sz w:val="22"/>
        </w:rPr>
        <w:t> </w:t>
      </w:r>
      <w:r>
        <w:rPr>
          <w:rFonts w:ascii="Times New Roman" w:hAnsi="Times New Roman"/>
          <w:b w:val="false"/>
          <w:i w:val="false"/>
          <w:color w:val="000000"/>
          <w:sz w:val="22"/>
        </w:rPr>
        <w:t>A funeral director may await a court order before proceeding with disinterment of a decedent’s remains if the funeral director is aware of a dispute among: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members of the same class of persons described in subrule </w:t>
      </w:r>
      <w:hyperlink r:id="rId19">
        <w:r>
          <w:rPr>
            <w:rStyle w:val="Hyperlink"/>
            <w:rFonts w:ascii="Times New Roman" w:hAnsi="Times New Roman"/>
            <w:b w:val="false"/>
            <w:i w:val="false"/>
            <w:color w:val="000000"/>
            <w:sz w:val="22"/>
          </w:rPr>
          <w:t>97.14(5)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authorized under subrule </w:t>
      </w:r>
      <w:hyperlink r:id="rId20">
        <w:r>
          <w:rPr>
            <w:rStyle w:val="Hyperlink"/>
            <w:rFonts w:ascii="Times New Roman" w:hAnsi="Times New Roman"/>
            <w:b w:val="false"/>
            <w:i w:val="false"/>
            <w:color w:val="000000"/>
            <w:sz w:val="22"/>
          </w:rPr>
          <w:t>97.14(5)</w:t>
        </w:r>
      </w:hyperlink>
      <w:r>
        <w:rPr>
          <w:rFonts w:ascii="Times New Roman" w:hAnsi="Times New Roman"/>
          <w:b w:val="false"/>
          <w:i w:val="false"/>
          <w:color w:val="000000"/>
          <w:sz w:val="22"/>
        </w:rPr>
        <w:t xml:space="preserve"> and the executor named in the decedent’s will or personal representative appointed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97.14(7)</w:t>
      </w:r>
      <w:r>
        <w:rPr>
          <w:rFonts w:ascii="Times New Roman" w:hAnsi="Times New Roman"/>
          <w:b w:val="false"/>
          <w:i w:val="false"/>
          <w:color w:val="000000"/>
          <w:sz w:val="22"/>
        </w:rPr>
        <w:t> </w:t>
      </w:r>
      <w:r>
        <w:rPr>
          <w:rFonts w:ascii="Times New Roman" w:hAnsi="Times New Roman"/>
          <w:b w:val="false"/>
          <w:i w:val="false"/>
          <w:color w:val="000000"/>
          <w:sz w:val="22"/>
        </w:rPr>
        <w:t xml:space="preserve">Due consideration under this rule shall be given to the public health, the preferences of a person authorized to control final disposition of a decedent’s remains under Iowa Code section </w:t>
      </w:r>
      <w:hyperlink r:id="rId21">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and any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641—97.15</w:t>
      </w:r>
      <w:r>
        <w:rPr>
          <w:rFonts w:ascii="Times New Roman" w:hAnsi="Times New Roman"/>
          <w:b/>
          <w:i w:val="false"/>
          <w:color w:val="000000"/>
          <w:sz w:val="22"/>
        </w:rPr>
        <w:t xml:space="preserve">(144) </w:t>
      </w:r>
      <w:r>
        <w:rPr>
          <w:rFonts w:ascii="Times New Roman" w:hAnsi="Times New Roman"/>
          <w:b/>
          <w:i w:val="false"/>
          <w:color w:val="000000"/>
          <w:sz w:val="22"/>
        </w:rPr>
        <w:t xml:space="preserve">Delayed death registration—one year or more after event. </w:t>
      </w:r>
      <w:r>
        <w:rPr>
          <w:rFonts w:ascii="Times New Roman" w:hAnsi="Times New Roman"/>
          <w:b w:val="false"/>
          <w:i w:val="false"/>
          <w:color w:val="000000"/>
          <w:sz w:val="22"/>
        </w:rPr>
        <w:t xml:space="preserve">Iowa deaths registered one year or more after the date of death shall be prepared on a Delayed Certificate of Death form developed by the state registrar. The state registrar will require documentary evidence to prove the facts of the death pursuant to Iowa Code section </w:t>
      </w:r>
      <w:hyperlink r:id="rId22">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The delayed certificate of death will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Registration of a delayed certificate of death may be requested by the surviving next of kin of the deceased, or the surviving next of kin’s legal representative,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Executor of the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Spouse, if not legally separated from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or legal guardian of the child if the 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Grandchild or legal guardian of the grandchild if the grandchild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Grandparent;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 responsible for the disposition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97.15(2)</w:t>
      </w:r>
      <w:r>
        <w:rPr>
          <w:rFonts w:ascii="Times New Roman" w:hAnsi="Times New Roman"/>
          <w:b w:val="false"/>
          <w:i w:val="false"/>
          <w:color w:val="000000"/>
          <w:sz w:val="22"/>
        </w:rPr>
        <w:t> </w:t>
      </w:r>
      <w:r>
        <w:rPr>
          <w:rFonts w:ascii="Times New Roman" w:hAnsi="Times New Roman"/>
          <w:b w:val="false"/>
          <w:i/>
          <w:color w:val="000000"/>
          <w:sz w:val="22"/>
        </w:rPr>
        <w:t xml:space="preserve">Facts to be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notification of record search certified by the state registrar that will indicate that no prior certificate of death is on file for the person whose delayed death record is to be filed. The notification of record search will be returned to the applicant and will not be exchanged for a certified copy of the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substantiate the following with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legal name and sex of the deceased at the time of the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place of death, including the type of place and location where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method and location of the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person responsible for the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Cause and manner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relationship to the decedent of the person applying to register the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to register the delayed certificate of death shall be supported by a minimum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of the person filing the certificate attesting to the accuracy of the information on the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dated documents from independent sources that consistently support the information necessary pursuant to subrule </w:t>
      </w:r>
      <w:hyperlink r:id="rId23">
        <w:r>
          <w:rPr>
            <w:rStyle w:val="Hyperlink"/>
            <w:rFonts w:ascii="Times New Roman" w:hAnsi="Times New Roman"/>
            <w:b w:val="false"/>
            <w:i w:val="false"/>
            <w:color w:val="000000"/>
            <w:sz w:val="22"/>
          </w:rPr>
          <w:t>97.15(2)</w:t>
        </w:r>
      </w:hyperlink>
      <w:r>
        <w:rPr>
          <w:rFonts w:ascii="Times New Roman" w:hAnsi="Times New Roman"/>
          <w:b w:val="false"/>
          <w:i w:val="false"/>
          <w:color w:val="000000"/>
          <w:sz w:val="22"/>
        </w:rPr>
        <w:t>. The documents shall be in the form of the original record, a certified copy thereof, or a notarized statement from the custodian of the record or document on the custodian’s letterhead. Personal affidavits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require additional documentary evidence to prove the facts of the death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97.15(4)</w:t>
      </w:r>
      <w:r>
        <w:rPr>
          <w:rFonts w:ascii="Times New Roman" w:hAnsi="Times New Roman"/>
          <w:b w:val="false"/>
          <w:i w:val="false"/>
          <w:color w:val="000000"/>
          <w:sz w:val="22"/>
        </w:rPr>
        <w:t> </w:t>
      </w:r>
      <w:r>
        <w:rPr>
          <w:rFonts w:ascii="Times New Roman" w:hAnsi="Times New Roman"/>
          <w:b w:val="false"/>
          <w:i/>
          <w:color w:val="000000"/>
          <w:sz w:val="22"/>
        </w:rPr>
        <w:t xml:space="preserve">Abstraction and certification by the state registrar. </w:t>
      </w:r>
      <w:r>
        <w:rPr>
          <w:rFonts w:ascii="Times New Roman" w:hAnsi="Times New Roman"/>
          <w:b w:val="false"/>
          <w:i w:val="false"/>
          <w:color w:val="000000"/>
          <w:sz w:val="22"/>
        </w:rPr>
        <w:t>The state registrar will abstract on the Delayed Certificate of Death form a description of each document submitted to support the facts of death. This description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or description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custodian who attested to the facts on the original documents in the custodian’s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the original filing of the document being abstracted;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information regarding the death for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97.15(5)</w:t>
      </w:r>
      <w:r>
        <w:rPr>
          <w:rFonts w:ascii="Times New Roman" w:hAnsi="Times New Roman"/>
          <w:b w:val="false"/>
          <w:i w:val="false"/>
          <w:color w:val="000000"/>
          <w:sz w:val="22"/>
        </w:rPr>
        <w:t> </w:t>
      </w:r>
      <w:r>
        <w:rPr>
          <w:rFonts w:ascii="Times New Roman" w:hAnsi="Times New Roman"/>
          <w:b w:val="false"/>
          <w:i/>
          <w:color w:val="000000"/>
          <w:sz w:val="22"/>
        </w:rPr>
        <w:t xml:space="preserve">Acceptance of documentary evidence for registration. </w:t>
      </w:r>
      <w:r>
        <w:rPr>
          <w:rFonts w:ascii="Times New Roman" w:hAnsi="Times New Roman"/>
          <w:b w:val="false"/>
          <w:i w:val="false"/>
          <w:color w:val="000000"/>
          <w:sz w:val="22"/>
        </w:rPr>
        <w:t>All documents submitted in support of the delayed registration will be returned to the applicant after review, abstraction, and registration. The state registrar will by signature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prior certificate of death is on file for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has been reviewed and substantiates the facts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abstract of the evidence appearing on the delayed certificate of death accurately reflects the nature and content of the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97.15(6)</w:t>
      </w:r>
      <w:r>
        <w:rPr>
          <w:rFonts w:ascii="Times New Roman" w:hAnsi="Times New Roman"/>
          <w:b w:val="false"/>
          <w:i w:val="false"/>
          <w:color w:val="000000"/>
          <w:sz w:val="22"/>
        </w:rPr>
        <w:t> </w:t>
      </w:r>
      <w:r>
        <w:rPr>
          <w:rFonts w:ascii="Times New Roman" w:hAnsi="Times New Roman"/>
          <w:b w:val="false"/>
          <w:i/>
          <w:color w:val="000000"/>
          <w:sz w:val="22"/>
        </w:rPr>
        <w:t xml:space="preserve">Denial of registration. </w:t>
      </w:r>
      <w:r>
        <w:rPr>
          <w:rFonts w:ascii="Times New Roman" w:hAnsi="Times New Roman"/>
          <w:b w:val="false"/>
          <w:i w:val="false"/>
          <w:color w:val="000000"/>
          <w:sz w:val="22"/>
        </w:rPr>
        <w:t>In the absence of adequate substantiating evidence or if the state registrar finds reason to question the validity or adequacy of the evidence necessary to establish a delayed certificate of death, the state registrar will not register the delayed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notice of rejection from the state registrar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Delayed Certificate of Death form stamped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Delayed Evidence Refusal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a delayed certificate of death that have not been completed within one year from the date of application may be dismissed at the discretion of the state registrar. Upon dismissal, the state registrar will advise the applicant, and all documents submitted in support of such registration will be returned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97.15(7)</w:t>
      </w:r>
      <w:r>
        <w:rPr>
          <w:rFonts w:ascii="Times New Roman" w:hAnsi="Times New Roman"/>
          <w:b w:val="false"/>
          <w:i w:val="false"/>
          <w:color w:val="000000"/>
          <w:sz w:val="22"/>
        </w:rPr>
        <w:t> </w:t>
      </w:r>
      <w:r>
        <w:rPr>
          <w:rFonts w:ascii="Times New Roman" w:hAnsi="Times New Roman"/>
          <w:b w:val="false"/>
          <w:i/>
          <w:color w:val="000000"/>
          <w:sz w:val="22"/>
        </w:rPr>
        <w:t xml:space="preserve">Duties of county registrar. </w:t>
      </w:r>
      <w:r>
        <w:rPr>
          <w:rFonts w:ascii="Times New Roman" w:hAnsi="Times New Roman"/>
          <w:b w:val="false"/>
          <w:i w:val="false"/>
          <w:color w:val="000000"/>
          <w:sz w:val="22"/>
        </w:rPr>
        <w:t>The county registrar may assist the applicant in the completion and notarization of the Delayed Certificate of Death form, excluding the portion restricted for state use only. The county registrar may forward the partially completed Delayed Certificate of Death form, documents and fees to the state registrar for final review and possible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Administrative and certified copy fees will be charged as provided in rule </w:t>
      </w:r>
      <w:hyperlink r:id="rId2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641—97.16</w:t>
      </w:r>
      <w:r>
        <w:rPr>
          <w:rFonts w:ascii="Times New Roman" w:hAnsi="Times New Roman"/>
          <w:b/>
          <w:i w:val="false"/>
          <w:color w:val="000000"/>
          <w:sz w:val="22"/>
        </w:rPr>
        <w:t xml:space="preserve">(144) </w:t>
      </w:r>
      <w:r>
        <w:rPr>
          <w:rFonts w:ascii="Times New Roman" w:hAnsi="Times New Roman"/>
          <w:b/>
          <w:i w:val="false"/>
          <w:color w:val="000000"/>
          <w:sz w:val="22"/>
        </w:rPr>
        <w:t xml:space="preserve">Registration of presumptive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97.16(1)</w:t>
      </w:r>
      <w:r>
        <w:rPr>
          <w:rFonts w:ascii="Times New Roman" w:hAnsi="Times New Roman"/>
          <w:b w:val="false"/>
          <w:i w:val="false"/>
          <w:color w:val="000000"/>
          <w:sz w:val="22"/>
        </w:rPr>
        <w:t> </w:t>
      </w:r>
      <w:r>
        <w:rPr>
          <w:rFonts w:ascii="Times New Roman" w:hAnsi="Times New Roman"/>
          <w:b w:val="false"/>
          <w:i w:val="false"/>
          <w:color w:val="000000"/>
          <w:sz w:val="22"/>
        </w:rPr>
        <w:t>A petition shall be filed with the district court in the county where the presumptive death occurred and shall be supported with the completed Affidavit of Personal Knowledge of a Missing Person form. The form shall be completed by the surviving next of kin of the deceased, or the surviving next of kin’s legal representative,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Spouse, if not legally separated from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or the child’s legal guardian if the 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Grandchild or the grandchild’s legal guardian if the grandchild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Grandparent;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Aunt or uncle;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Niece or nephew;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the next degree of kinship to the decedent in the order named by law to inherit the estate of the decedent pursuant to Iowa Code sections </w:t>
      </w:r>
      <w:hyperlink r:id="rId25">
        <w:r>
          <w:rPr>
            <w:rStyle w:val="Hyperlink"/>
            <w:rFonts w:ascii="Times New Roman" w:hAnsi="Times New Roman"/>
            <w:b w:val="false"/>
            <w:i w:val="false"/>
            <w:color w:val="000000"/>
            <w:sz w:val="22"/>
          </w:rPr>
          <w:t>633.210</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633.226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97.16(2)</w:t>
      </w:r>
      <w:r>
        <w:rPr>
          <w:rFonts w:ascii="Times New Roman" w:hAnsi="Times New Roman"/>
          <w:b w:val="false"/>
          <w:i w:val="false"/>
          <w:color w:val="000000"/>
          <w:sz w:val="22"/>
        </w:rPr>
        <w:t> </w:t>
      </w:r>
      <w:r>
        <w:rPr>
          <w:rFonts w:ascii="Times New Roman" w:hAnsi="Times New Roman"/>
          <w:b w:val="false"/>
          <w:i w:val="false"/>
          <w:color w:val="000000"/>
          <w:sz w:val="22"/>
        </w:rPr>
        <w:t>In addition to the Affidavit of Personal Knowledge of a Missing Person form or in the absence of the next of kin, the petition may be supported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Affidavit by Employer for an Employee Who Was Working at Time of Disappearance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Affidavit by Government Official for a Government Employee Missing While Involved in Rescue Efforts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Affidavit by Reliable Informant of Missing Person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97.16(3)</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provide the affidavit forms and the certificate of presumptive death. The affidavits and the certificate of presumptive death will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presentation of a certified copy of a court order, the state registrar will file a certificate of presumptive death pursuant to Iowa Code sections </w:t>
      </w:r>
      <w:hyperlink r:id="rId27">
        <w:r>
          <w:rPr>
            <w:rStyle w:val="Hyperlink"/>
            <w:rFonts w:ascii="Times New Roman" w:hAnsi="Times New Roman"/>
            <w:b w:val="false"/>
            <w:i w:val="false"/>
            <w:color w:val="000000"/>
            <w:sz w:val="22"/>
          </w:rPr>
          <w:t>633.517</w:t>
        </w:r>
      </w:hyperlink>
      <w:r>
        <w:rPr>
          <w:rFonts w:ascii="Times New Roman" w:hAnsi="Times New Roman"/>
          <w:b w:val="false"/>
          <w:i w:val="false"/>
          <w:color w:val="000000"/>
          <w:sz w:val="22"/>
        </w:rPr>
        <w:t xml:space="preserve"> through </w:t>
      </w:r>
      <w:hyperlink r:id="rId28">
        <w:r>
          <w:rPr>
            <w:rStyle w:val="Hyperlink"/>
            <w:rFonts w:ascii="Times New Roman" w:hAnsi="Times New Roman"/>
            <w:b w:val="false"/>
            <w:i w:val="false"/>
            <w:color w:val="000000"/>
            <w:sz w:val="22"/>
          </w:rPr>
          <w:t>633.520</w:t>
        </w:r>
      </w:hyperlink>
      <w:r>
        <w:rPr>
          <w:rFonts w:ascii="Times New Roman" w:hAnsi="Times New Roman"/>
          <w:b w:val="false"/>
          <w:i w:val="false"/>
          <w:color w:val="000000"/>
          <w:sz w:val="22"/>
        </w:rPr>
        <w:t>. The order from the district court shall only establish the presumptive death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97.16(5)</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under the jurisdiction of the medical examiner, the certified copy of the court order and the completed supporting affidavits listed in subrules </w:t>
      </w:r>
      <w:hyperlink r:id="rId29">
        <w:r>
          <w:rPr>
            <w:rStyle w:val="Hyperlink"/>
            <w:rFonts w:ascii="Times New Roman" w:hAnsi="Times New Roman"/>
            <w:b w:val="false"/>
            <w:i w:val="false"/>
            <w:color w:val="000000"/>
            <w:sz w:val="22"/>
          </w:rPr>
          <w:t>97.16(1)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97.16(2)</w:t>
        </w:r>
      </w:hyperlink>
      <w:r>
        <w:rPr>
          <w:rFonts w:ascii="Times New Roman" w:hAnsi="Times New Roman"/>
          <w:b w:val="false"/>
          <w:i w:val="false"/>
          <w:color w:val="000000"/>
          <w:sz w:val="22"/>
        </w:rPr>
        <w:t xml:space="preserve"> shall be delivered to the medical examiner. The medical examiner will complete the certificate of presumptive death and certify to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97.16(6)</w:t>
      </w:r>
      <w:r>
        <w:rPr>
          <w:rFonts w:ascii="Times New Roman" w:hAnsi="Times New Roman"/>
          <w:b w:val="false"/>
          <w:i w:val="false"/>
          <w:color w:val="000000"/>
          <w:sz w:val="22"/>
        </w:rPr>
        <w:t> </w:t>
      </w:r>
      <w:r>
        <w:rPr>
          <w:rFonts w:ascii="Times New Roman" w:hAnsi="Times New Roman"/>
          <w:b w:val="false"/>
          <w:i w:val="false"/>
          <w:color w:val="000000"/>
          <w:sz w:val="22"/>
        </w:rPr>
        <w:t>The certificate of presumptive death will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97.16(7)</w:t>
      </w:r>
      <w:r>
        <w:rPr>
          <w:rFonts w:ascii="Times New Roman" w:hAnsi="Times New Roman"/>
          <w:b w:val="false"/>
          <w:i w:val="false"/>
          <w:color w:val="000000"/>
          <w:sz w:val="22"/>
        </w:rPr>
        <w:t> </w:t>
      </w:r>
      <w:r>
        <w:rPr>
          <w:rFonts w:ascii="Times New Roman" w:hAnsi="Times New Roman"/>
          <w:b w:val="false"/>
          <w:i w:val="false"/>
          <w:color w:val="000000"/>
          <w:sz w:val="22"/>
        </w:rPr>
        <w:t>The certificate of presumptive death will be recorded based on the date of the court order and shall not be registered as a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97.16(8)</w:t>
      </w:r>
      <w:r>
        <w:rPr>
          <w:rFonts w:ascii="Times New Roman" w:hAnsi="Times New Roman"/>
          <w:b w:val="false"/>
          <w:i w:val="false"/>
          <w:color w:val="000000"/>
          <w:sz w:val="22"/>
        </w:rPr>
        <w:t> </w:t>
      </w:r>
      <w:r>
        <w:rPr>
          <w:rFonts w:ascii="Times New Roman" w:hAnsi="Times New Roman"/>
          <w:b w:val="false"/>
          <w:i w:val="false"/>
          <w:color w:val="000000"/>
          <w:sz w:val="22"/>
        </w:rPr>
        <w:t>If the missing person is located and found to be alive, the certificate of presumptive death will be voided and removed from the vital records system of registration. Any issued certified copies shall be surrendered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641—97.17</w:t>
      </w:r>
      <w:r>
        <w:rPr>
          <w:rFonts w:ascii="Times New Roman" w:hAnsi="Times New Roman"/>
          <w:b/>
          <w:i w:val="false"/>
          <w:color w:val="000000"/>
          <w:sz w:val="22"/>
        </w:rPr>
        <w:t xml:space="preserve">(144) </w:t>
      </w:r>
      <w:r>
        <w:rPr>
          <w:rFonts w:ascii="Times New Roman" w:hAnsi="Times New Roman"/>
          <w:b/>
          <w:i w:val="false"/>
          <w:color w:val="000000"/>
          <w:sz w:val="22"/>
        </w:rPr>
        <w:t xml:space="preserve">Release or final disposition of a dead human body or fetus by an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97.17(1)</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released by an institution, the person in charge of the institution shall maintain a record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title, and license number of person who pronounced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medical certifier;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to whom the dead human body or fetus is released;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removal of the dead human body or fetus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97.17(2)</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released or final disposition is completed by an institution, the person in charge of the institution shall keep a record showing the date, place, and manner of release 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direction of the state registrar, the institution shall provide the information listed in subrule </w:t>
      </w:r>
      <w:hyperlink r:id="rId31">
        <w:r>
          <w:rPr>
            <w:rStyle w:val="Hyperlink"/>
            <w:rFonts w:ascii="Times New Roman" w:hAnsi="Times New Roman"/>
            <w:b w:val="false"/>
            <w:i w:val="false"/>
            <w:color w:val="000000"/>
            <w:sz w:val="22"/>
          </w:rPr>
          <w:t>97.17(1)</w:t>
        </w:r>
      </w:hyperlink>
      <w:r>
        <w:rPr>
          <w:rFonts w:ascii="Times New Roman" w:hAnsi="Times New Roman"/>
          <w:b w:val="false"/>
          <w:i w:val="false"/>
          <w:color w:val="000000"/>
          <w:sz w:val="22"/>
        </w:rPr>
        <w:t xml:space="preserve"> to the funeral director or person acting as such who assumes custody of the dead human body for purposes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97.17(4)</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will be retained for a period of not less than ten years and will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641—97.18</w:t>
      </w:r>
      <w:r>
        <w:rPr>
          <w:rFonts w:ascii="Times New Roman" w:hAnsi="Times New Roman"/>
          <w:b/>
          <w:i w:val="false"/>
          <w:color w:val="000000"/>
          <w:sz w:val="22"/>
        </w:rPr>
        <w:t xml:space="preserve">(144) </w:t>
      </w:r>
      <w:r>
        <w:rPr>
          <w:rFonts w:ascii="Times New Roman" w:hAnsi="Times New Roman"/>
          <w:b/>
          <w:i w:val="false"/>
          <w:color w:val="000000"/>
          <w:sz w:val="22"/>
        </w:rPr>
        <w:t xml:space="preserve">Additional record by funeral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97.18(1)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filing any certificate or other form required by Iowa Code chapter </w:t>
      </w:r>
      <w:hyperlink r:id="rId3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a funeral director or other person who removes from the place of death or transports or completes final disposition of a dead human body or fetus shall maintain a record that shall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to whom the dead human body or fetus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institution or other place of death releasing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removal from the place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and method of final disposition of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97.18(2)</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at the funeral establishment responsible for disposition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135.11(7)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144.12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xml:space="preserve"> through </w:t>
      </w:r>
      <w:hyperlink r:id="rId36">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144.26</w:t>
        </w:r>
      </w:hyperlink>
      <w:r>
        <w:rPr>
          <w:rFonts w:ascii="Times New Roman" w:hAnsi="Times New Roman"/>
          <w:b w:val="false"/>
          <w:i w:val="false"/>
          <w:color w:val="000000"/>
          <w:sz w:val="22"/>
        </w:rPr>
        <w:t xml:space="preserve"> through </w:t>
      </w:r>
      <w:hyperlink r:id="rId38">
        <w:r>
          <w:rPr>
            <w:rStyle w:val="Hyperlink"/>
            <w:rFonts w:ascii="Times New Roman" w:hAnsi="Times New Roman"/>
            <w:b w:val="false"/>
            <w:i w:val="false"/>
            <w:color w:val="000000"/>
            <w:sz w:val="22"/>
          </w:rPr>
          <w:t>144.29</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144.30</w:t>
        </w:r>
      </w:hyperlink>
      <w:r>
        <w:rPr>
          <w:rFonts w:ascii="Times New Roman" w:hAnsi="Times New Roman"/>
          <w:b w:val="false"/>
          <w:i w:val="false"/>
          <w:color w:val="000000"/>
          <w:sz w:val="22"/>
        </w:rPr>
        <w:t xml:space="preserve"> through </w:t>
      </w:r>
      <w:hyperlink r:id="rId40">
        <w:r>
          <w:rPr>
            <w:rStyle w:val="Hyperlink"/>
            <w:rFonts w:ascii="Times New Roman" w:hAnsi="Times New Roman"/>
            <w:b w:val="false"/>
            <w:i w:val="false"/>
            <w:color w:val="000000"/>
            <w:sz w:val="22"/>
          </w:rPr>
          <w:t>144.35</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144.49</w:t>
        </w:r>
      </w:hyperlink>
      <w:r>
        <w:rPr>
          <w:rFonts w:ascii="Times New Roman" w:hAnsi="Times New Roman"/>
          <w:b w:val="false"/>
          <w:i w:val="false"/>
          <w:color w:val="000000"/>
          <w:sz w:val="22"/>
        </w:rPr>
        <w:t xml:space="preserve"> through </w:t>
      </w:r>
      <w:hyperlink r:id="rId43">
        <w:r>
          <w:rPr>
            <w:rStyle w:val="Hyperlink"/>
            <w:rFonts w:ascii="Times New Roman" w:hAnsi="Times New Roman"/>
            <w:b w:val="false"/>
            <w:i w:val="false"/>
            <w:color w:val="000000"/>
            <w:sz w:val="22"/>
          </w:rPr>
          <w:t>144.51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633.517</w:t>
        </w:r>
      </w:hyperlink>
      <w:r>
        <w:rPr>
          <w:rFonts w:ascii="Times New Roman" w:hAnsi="Times New Roman"/>
          <w:b w:val="false"/>
          <w:i w:val="false"/>
          <w:color w:val="000000"/>
          <w:sz w:val="22"/>
        </w:rPr>
        <w:t xml:space="preserve"> through </w:t>
      </w:r>
      <w:hyperlink r:id="rId47">
        <w:r>
          <w:rPr>
            <w:rStyle w:val="Hyperlink"/>
            <w:rFonts w:ascii="Times New Roman" w:hAnsi="Times New Roman"/>
            <w:b w:val="false"/>
            <w:i w:val="false"/>
            <w:color w:val="000000"/>
            <w:sz w:val="22"/>
          </w:rPr>
          <w:t>633.520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2276C</w:t>
      </w:r>
      <w:r>
        <w:rPr>
          <w:rFonts w:ascii="Times New Roman" w:hAnsi="Times New Roman"/>
          <w:b w:val="false"/>
          <w:i w:val="false"/>
          <w:color w:val="000000"/>
          <w:sz w:val="21"/>
        </w:rPr>
        <w:t xml:space="preserve"> (Notice ARC 2156C,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5199C</w:t>
      </w:r>
      <w:r>
        <w:rPr>
          <w:rFonts w:ascii="Times New Roman" w:hAnsi="Times New Roman"/>
          <w:b w:val="false"/>
          <w:i w:val="false"/>
          <w:color w:val="000000"/>
          <w:sz w:val="21"/>
        </w:rPr>
        <w:t xml:space="preserve"> (Notice ARC 5087C,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0144D</w:t>
      </w:r>
      <w:r>
        <w:rPr>
          <w:rFonts w:ascii="Times New Roman" w:hAnsi="Times New Roman"/>
          <w:b w:val="false"/>
          <w:i w:val="false"/>
          <w:color w:val="000000"/>
          <w:sz w:val="21"/>
        </w:rPr>
        <w:t xml:space="preserve"> (Notice ARC 9946C, IAB 1/7/26)</w:t>
      </w:r>
      <w:r>
        <w:rPr>
          <w:rFonts w:ascii="Times New Roman" w:hAnsi="Times New Roman"/>
          <w:b w:val="false"/>
          <w:i w:val="false"/>
          <w:color w:val="000000"/>
          <w:sz w:val="21"/>
        </w:rPr>
        <w:t>, IAB 3/18/26, effective 7/1/26]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January 16, 2013, effective date of Chapter 97 [ARC 0483C] delayed until the adjournment of the 2013 General Assembly by the Administrative Rules Review Committee at its meeting held January 8, 2013; delay lifted at the meeting held March 8, 2013.</w:t>
      </w:r>
    </w:p>
    <w:sectPr>
      <w:footerReference r:id="rId4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co/chapter/135.1.pdf" Type="http://schemas.openxmlformats.org/officeDocument/2006/relationships/hyperlink" Id="rId6"/>
    <Relationship TargetMode="External" Target="https://www.legis.iowa.gov/docs/ico/chapter/331.802.pdf" Type="http://schemas.openxmlformats.org/officeDocument/2006/relationships/hyperlink" Id="rId7"/>
    <Relationship TargetMode="External" Target="https://www.legis.iowa.gov/docs/iac/rule/641.97.12.pdf" Type="http://schemas.openxmlformats.org/officeDocument/2006/relationships/hyperlink" Id="rId8"/>
    <Relationship TargetMode="External" Target="https://www.legis.iowa.gov/docs/iac/rule/641.97.11.pdf" Type="http://schemas.openxmlformats.org/officeDocument/2006/relationships/hyperlink" Id="rId9"/>
    <Relationship TargetMode="External" Target="https://www.legis.iowa.gov/docs/ico/chapter/144.32.pdf" Type="http://schemas.openxmlformats.org/officeDocument/2006/relationships/hyperlink" Id="rId10"/>
    <Relationship TargetMode="External" Target="https://www.legis.iowa.gov/docs/ico/chapter/144.pdf" Type="http://schemas.openxmlformats.org/officeDocument/2006/relationships/hyperlink" Id="rId11"/>
    <Relationship TargetMode="External" Target="https://www.legis.iowa.gov/docs/ico/chapter/139A.2.pdf" Type="http://schemas.openxmlformats.org/officeDocument/2006/relationships/hyperlink" Id="rId12"/>
    <Relationship TargetMode="External" Target="https://www.legis.iowa.gov/docs/ico/chapter/144C.5.pdf" Type="http://schemas.openxmlformats.org/officeDocument/2006/relationships/hyperlink" Id="rId13"/>
    <Relationship TargetMode="External" Target="https://www.legis.iowa.gov/docs/ico/chapter/144C.5.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44C.5.pdf" Type="http://schemas.openxmlformats.org/officeDocument/2006/relationships/hyperlink" Id="rId16"/>
    <Relationship TargetMode="External" Target="https://www.legis.iowa.gov/docs/ico/chapter/144.34.pdf" Type="http://schemas.openxmlformats.org/officeDocument/2006/relationships/hyperlink" Id="rId17"/>
    <Relationship TargetMode="External" Target="https://www.legis.iowa.gov/docs/ico/chapter/144C.5.pdf" Type="http://schemas.openxmlformats.org/officeDocument/2006/relationships/hyperlink" Id="rId18"/>
    <Relationship TargetMode="External" Target="https://www.legis.iowa.gov/docs/iac/rule/641.97.14.pdf" Type="http://schemas.openxmlformats.org/officeDocument/2006/relationships/hyperlink" Id="rId19"/>
    <Relationship TargetMode="External" Target="https://www.legis.iowa.gov/docs/iac/rule/641.97.14.pdf" Type="http://schemas.openxmlformats.org/officeDocument/2006/relationships/hyperlink" Id="rId20"/>
    <Relationship TargetMode="External" Target="https://www.legis.iowa.gov/docs/ico/chapter/144C.5.pdf" Type="http://schemas.openxmlformats.org/officeDocument/2006/relationships/hyperlink" Id="rId21"/>
    <Relationship TargetMode="External" Target="https://www.legis.iowa.gov/docs/ico/chapter/144.16.pdf" Type="http://schemas.openxmlformats.org/officeDocument/2006/relationships/hyperlink" Id="rId22"/>
    <Relationship TargetMode="External" Target="https://www.legis.iowa.gov/docs/iac/rule/641.97.15.pdf" Type="http://schemas.openxmlformats.org/officeDocument/2006/relationships/hyperlink" Id="rId23"/>
    <Relationship TargetMode="External" Target="https://www.legis.iowa.gov/docs/iac/rule/641.95.6.pdf" Type="http://schemas.openxmlformats.org/officeDocument/2006/relationships/hyperlink" Id="rId24"/>
    <Relationship TargetMode="External" Target="https://www.legis.iowa.gov/docs/ico/chapter/633.210.pdf" Type="http://schemas.openxmlformats.org/officeDocument/2006/relationships/hyperlink" Id="rId25"/>
    <Relationship TargetMode="External" Target="https://www.legis.iowa.gov/docs/ico/chapter/633.226.pdf" Type="http://schemas.openxmlformats.org/officeDocument/2006/relationships/hyperlink" Id="rId26"/>
    <Relationship TargetMode="External" Target="https://www.legis.iowa.gov/docs/ico/chapter/633.517.pdf" Type="http://schemas.openxmlformats.org/officeDocument/2006/relationships/hyperlink" Id="rId27"/>
    <Relationship TargetMode="External" Target="https://www.legis.iowa.gov/docs/ico/chapter/633.520.pdf" Type="http://schemas.openxmlformats.org/officeDocument/2006/relationships/hyperlink" Id="rId28"/>
    <Relationship TargetMode="External" Target="https://www.legis.iowa.gov/docs/iac/rule/641.97.16.pdf" Type="http://schemas.openxmlformats.org/officeDocument/2006/relationships/hyperlink" Id="rId29"/>
    <Relationship TargetMode="External" Target="https://www.legis.iowa.gov/docs/iac/rule/641.97.16.pdf" Type="http://schemas.openxmlformats.org/officeDocument/2006/relationships/hyperlink" Id="rId30"/>
    <Relationship TargetMode="External" Target="https://www.legis.iowa.gov/docs/iac/rule/641.97.17.pdf" Type="http://schemas.openxmlformats.org/officeDocument/2006/relationships/hyperlink" Id="rId31"/>
    <Relationship TargetMode="External" Target="https://www.legis.iowa.gov/docs/ico/chapter/144.pdf" Type="http://schemas.openxmlformats.org/officeDocument/2006/relationships/hyperlink" Id="rId32"/>
    <Relationship TargetMode="External" Target="https://www.legis.iowa.gov/docs/ico/chapter/135.11.pdf" Type="http://schemas.openxmlformats.org/officeDocument/2006/relationships/hyperlink" Id="rId33"/>
    <Relationship TargetMode="External" Target="https://www.legis.iowa.gov/docs/ico/chapter/144.12.pdf" Type="http://schemas.openxmlformats.org/officeDocument/2006/relationships/hyperlink" Id="rId34"/>
    <Relationship TargetMode="External" Target="https://www.legis.iowa.gov/docs/ico/chapter/144.16.pdf" Type="http://schemas.openxmlformats.org/officeDocument/2006/relationships/hyperlink" Id="rId35"/>
    <Relationship TargetMode="External" Target="https://www.legis.iowa.gov/docs/ico/chapter/144.18.pdf" Type="http://schemas.openxmlformats.org/officeDocument/2006/relationships/hyperlink" Id="rId36"/>
    <Relationship TargetMode="External" Target="https://www.legis.iowa.gov/docs/ico/chapter/144.26.pdf" Type="http://schemas.openxmlformats.org/officeDocument/2006/relationships/hyperlink" Id="rId37"/>
    <Relationship TargetMode="External" Target="https://www.legis.iowa.gov/docs/ico/chapter/144.29.pdf" Type="http://schemas.openxmlformats.org/officeDocument/2006/relationships/hyperlink" Id="rId38"/>
    <Relationship TargetMode="External" Target="https://www.legis.iowa.gov/docs/ico/chapter/144.30.pdf" Type="http://schemas.openxmlformats.org/officeDocument/2006/relationships/hyperlink" Id="rId39"/>
    <Relationship TargetMode="External" Target="https://www.legis.iowa.gov/docs/ico/chapter/144.35.pdf" Type="http://schemas.openxmlformats.org/officeDocument/2006/relationships/hyperlink" Id="rId40"/>
    <Relationship TargetMode="External" Target="https://www.legis.iowa.gov/docs/ico/chapter/144.47.pdf" Type="http://schemas.openxmlformats.org/officeDocument/2006/relationships/hyperlink" Id="rId41"/>
    <Relationship TargetMode="External" Target="https://www.legis.iowa.gov/docs/ico/chapter/144.49.pdf" Type="http://schemas.openxmlformats.org/officeDocument/2006/relationships/hyperlink" Id="rId42"/>
    <Relationship TargetMode="External" Target="https://www.legis.iowa.gov/docs/ico/chapter/144.51.pdf" Type="http://schemas.openxmlformats.org/officeDocument/2006/relationships/hyperlink" Id="rId43"/>
    <Relationship TargetMode="External" Target="https://www.legis.iowa.gov/docs/ico/chapter/144C.5.pdf" Type="http://schemas.openxmlformats.org/officeDocument/2006/relationships/hyperlink" Id="rId44"/>
    <Relationship TargetMode="External" Target="https://www.legis.iowa.gov/docs/ico/chapter/331.802.pdf" Type="http://schemas.openxmlformats.org/officeDocument/2006/relationships/hyperlink" Id="rId45"/>
    <Relationship TargetMode="External" Target="https://www.legis.iowa.gov/docs/ico/chapter/633.517.pdf" Type="http://schemas.openxmlformats.org/officeDocument/2006/relationships/hyperlink" Id="rId46"/>
    <Relationship TargetMode="External" Target="https://www.legis.iowa.gov/docs/ico/chapter/633.520.pdf" Type="http://schemas.openxmlformats.org/officeDocument/2006/relationships/hyperlink" Id="rId47"/>
    <Relationship Target="footer.xml" Type="http://schemas.openxmlformats.org/officeDocument/2006/relationships/footer" Id="rId4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