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CHILD PROTECTION CENTER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11/1/30</w:t>
      </w:r>
    </w:p>
    <w:p>
      <w:pPr>
        <w:spacing w:before="0" w:after="0"/>
        <w:ind w:left="120"/>
        <w:jc w:val="both"/>
      </w:pPr>
      <w:r>
        <w:rPr>
          <w:rFonts w:ascii="Times New Roman" w:hAnsi="Times New Roman"/>
          <w:b/>
          <w:i w:val="false"/>
          <w:color w:val="000000"/>
          <w:sz w:val="22"/>
        </w:rPr>
        <w:t>641—94.1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protection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“child advocacy center”</w:t>
      </w:r>
      <w:r>
        <w:rPr>
          <w:rFonts w:ascii="Times New Roman" w:hAnsi="Times New Roman"/>
          <w:b w:val="false"/>
          <w:i w:val="false"/>
          <w:color w:val="000000"/>
          <w:sz w:val="22"/>
        </w:rPr>
        <w:t> </w:t>
      </w:r>
      <w:r>
        <w:rPr>
          <w:rFonts w:ascii="Times New Roman" w:hAnsi="Times New Roman"/>
          <w:b w:val="false"/>
          <w:i w:val="false"/>
          <w:color w:val="000000"/>
          <w:sz w:val="22"/>
        </w:rPr>
        <w:t>means a comprehensive, child-focused program, designed by communities to meet their needs, based in a facility that allows law enforcement, child protection professionals, prosecutors, and the mental health and medical communities to work together to handle child abuse cases. “Child advocacy center” is synonymous with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 service area”</w:t>
      </w:r>
      <w:r>
        <w:rPr>
          <w:rFonts w:ascii="Times New Roman" w:hAnsi="Times New Roman"/>
          <w:b w:val="false"/>
          <w:i w:val="false"/>
          <w:color w:val="000000"/>
          <w:sz w:val="22"/>
        </w:rPr>
        <w:t> </w:t>
      </w:r>
      <w:r>
        <w:rPr>
          <w:rFonts w:ascii="Times New Roman" w:hAnsi="Times New Roman"/>
          <w:b w:val="false"/>
          <w:i w:val="false"/>
          <w:color w:val="000000"/>
          <w:sz w:val="22"/>
        </w:rPr>
        <w:t>means one of the five geographic areas designated by the department for the provision of family well-being and protection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641—94.2</w:t>
      </w:r>
      <w:r>
        <w:rPr>
          <w:rFonts w:ascii="Times New Roman" w:hAnsi="Times New Roman"/>
          <w:b/>
          <w:i w:val="false"/>
          <w:color w:val="000000"/>
          <w:sz w:val="22"/>
        </w:rPr>
        <w:t xml:space="preserve">(135) </w:t>
      </w:r>
      <w:r>
        <w:rPr>
          <w:rFonts w:ascii="Times New Roman" w:hAnsi="Times New Roman"/>
          <w:b/>
          <w:i w:val="false"/>
          <w:color w:val="000000"/>
          <w:sz w:val="22"/>
        </w:rPr>
        <w:t xml:space="preserve">Goals. </w:t>
      </w:r>
      <w:r>
        <w:rPr>
          <w:rFonts w:ascii="Times New Roman" w:hAnsi="Times New Roman"/>
          <w:b w:val="false"/>
          <w:i w:val="false"/>
          <w:color w:val="000000"/>
          <w:sz w:val="22"/>
        </w:rPr>
        <w:t>A child protection center’s goals for victims of child abuse allegations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provide consistent and expedient response and follow-up to abuse reports.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coordinate activities to investigate, prosecute, and treat child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advocate for medical and mental health resources to effectively help the child and the child’s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reduce the number of interviews and interactions with a victim.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provide consistent and compassionate support for the child and the child’s family.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ensure that the child is not further victimized by the system designed to protect the child.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increase successful prosecutions.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641—94.3</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 request for proposal and application process for organizations eligible to receive funding. The department will establish a process to review applications, including receiving input from a review committee. The review process and review criteria will be described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create a committee to review proposals and make recommendations to the director. At a minimum, committee membership will be in accordance with Iowa Code section </w:t>
      </w:r>
      <w:hyperlink r:id="rId6">
        <w:r>
          <w:rPr>
            <w:rStyle w:val="Hyperlink"/>
            <w:rFonts w:ascii="Times New Roman" w:hAnsi="Times New Roman"/>
            <w:b w:val="false"/>
            <w:i w:val="false"/>
            <w:color w:val="000000"/>
            <w:sz w:val="22"/>
          </w:rPr>
          <w:t>135.118(3)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val="false"/>
          <w:color w:val="000000"/>
          <w:sz w:val="22"/>
        </w:rPr>
        <w:t>While implementation of the grant program is subject to the availability of funding, if sufficient funding is available, the department will, at a minimum, award a grant to a child protection center in or available to each department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641—94.4</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and criteria. </w:t>
      </w:r>
      <w:r>
        <w:rPr>
          <w:rFonts w:ascii="Times New Roman" w:hAnsi="Times New Roman"/>
          <w:b w:val="false"/>
          <w:i w:val="false"/>
          <w:color w:val="000000"/>
          <w:sz w:val="22"/>
        </w:rPr>
        <w:t>To be eligible for a child protection center grant, an organization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val="false"/>
          <w:color w:val="000000"/>
          <w:sz w:val="22"/>
        </w:rPr>
        <w:t>Have acquired partial membership rank as a child advocacy center from the National Children’s Alliance and shall identify a plan to acquire full membership rank within one year of receiving a state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in place an interagency memorandum of understanding that meets the requirements of Iowa Code section </w:t>
      </w:r>
      <w:hyperlink r:id="rId7">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 The applicant shall provide in the application written information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statistics and facts from an assessment of need and assets in the community to support a child protection center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barriers to the child protection center to reach the purpose and goals for children as may exist in federal, state, or local rules, regulations, codes, policies,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plan to request and advocate waivers of federal, state, or local rules, regulations, codes, policies, or procedures to remove or reduce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access to information regarding all suspected or confirmed child abuse/neglect victims in the identified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provision of 24-hour access to center staff for support, questions, and referrals regarding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matching local funds to support and sustain the child protection center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community education on prevention of child abuse and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Collaboration agreements with providers of human services, child health services, early education services, and all other potential community partners to support the purpose and goals of the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ability to access and utilize alternate funds for activities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641—94.5</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may appeal the denial of a properly submitted grant application. Appeals will be governed by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9563C</w:t>
      </w:r>
      <w:r>
        <w:rPr>
          <w:rFonts w:ascii="Times New Roman" w:hAnsi="Times New Roman"/>
          <w:b w:val="false"/>
          <w:i w:val="false"/>
          <w:color w:val="000000"/>
          <w:sz w:val="21"/>
        </w:rPr>
        <w:t xml:space="preserve"> (Amended Notice ARC 9411C, IAB 7/23/25; </w:t>
      </w:r>
      <w:r>
        <w:rPr>
          <w:rFonts w:ascii="Times New Roman" w:hAnsi="Times New Roman"/>
          <w:b w:val="false"/>
          <w:i w:val="false"/>
          <w:color w:val="000000"/>
          <w:sz w:val="21"/>
        </w:rPr>
        <w:t>Notice ARC 8553C, IAB 12/25/24)</w:t>
      </w:r>
      <w:r>
        <w:rPr>
          <w:rFonts w:ascii="Times New Roman" w:hAnsi="Times New Roman"/>
          <w:b w:val="false"/>
          <w:i w:val="false"/>
          <w:color w:val="000000"/>
          <w:sz w:val="21"/>
        </w:rPr>
        <w:t>, IAB 9/17/25, effective 11/1/25]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135.118.pdf" Type="http://schemas.openxmlformats.org/officeDocument/2006/relationships/hyperlink" Id="rId6"/>
    <Relationship TargetMode="External" Target="https://www.legis.iowa.gov/docs/ico/chapter/135.118.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135.11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