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90</w:t>
      </w:r>
    </w:p>
    <w:p>
      <w:pPr>
        <w:spacing w:before="0" w:after="0"/>
        <w:ind w:left="120"/>
        <w:jc w:val="center"/>
      </w:pPr>
      <w:r>
        <w:rPr>
          <w:rFonts w:ascii="Times New Roman" w:hAnsi="Times New Roman"/>
          <w:b w:val="false"/>
          <w:i w:val="false"/>
          <w:color w:val="000000"/>
          <w:sz w:val="21"/>
        </w:rPr>
        <w:t>STATE MORTALITY REVIEW COMMITTEE</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4/1/30</w:t>
      </w:r>
    </w:p>
    <w:p>
      <w:pPr>
        <w:spacing w:before="0" w:after="0"/>
        <w:ind w:left="120"/>
        <w:jc w:val="both"/>
      </w:pPr>
      <w:r>
        <w:rPr>
          <w:rFonts w:ascii="Times New Roman" w:hAnsi="Times New Roman"/>
          <w:b/>
          <w:i w:val="false"/>
          <w:color w:val="000000"/>
          <w:sz w:val="22"/>
        </w:rPr>
        <w:t>641—90.1</w:t>
      </w:r>
      <w:r>
        <w:rPr>
          <w:rFonts w:ascii="Times New Roman" w:hAnsi="Times New Roman"/>
          <w:b/>
          <w:i w:val="false"/>
          <w:color w:val="000000"/>
          <w:sz w:val="22"/>
        </w:rPr>
        <w:t xml:space="preserve">(135)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 abuse assessment” </w:t>
      </w:r>
      <w:r>
        <w:rPr>
          <w:rFonts w:ascii="Times New Roman" w:hAnsi="Times New Roman"/>
          <w:b w:val="false"/>
          <w:i w:val="false"/>
          <w:color w:val="000000"/>
          <w:sz w:val="22"/>
        </w:rPr>
        <w:t xml:space="preserve">means an assessment performed in accordance with Iowa Code section </w:t>
      </w:r>
      <w:hyperlink r:id="rId5">
        <w:r>
          <w:rPr>
            <w:rStyle w:val="Hyperlink"/>
            <w:rFonts w:ascii="Times New Roman" w:hAnsi="Times New Roman"/>
            <w:b w:val="false"/>
            <w:i w:val="false"/>
            <w:color w:val="000000"/>
            <w:sz w:val="22"/>
          </w:rPr>
          <w:t>232.71B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 fatality” </w:t>
      </w:r>
      <w:r>
        <w:rPr>
          <w:rFonts w:ascii="Times New Roman" w:hAnsi="Times New Roman"/>
          <w:b w:val="false"/>
          <w:i w:val="false"/>
          <w:color w:val="000000"/>
          <w:sz w:val="22"/>
        </w:rPr>
        <w:t>means the death of a child under the age of 18.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“Committee” </w:t>
      </w:r>
      <w:r>
        <w:rPr>
          <w:rFonts w:ascii="Times New Roman" w:hAnsi="Times New Roman"/>
          <w:b w:val="false"/>
          <w:i w:val="false"/>
          <w:color w:val="000000"/>
          <w:sz w:val="22"/>
        </w:rPr>
        <w:t>means the state mortality review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“Maternal death” </w:t>
      </w:r>
      <w:r>
        <w:rPr>
          <w:rFonts w:ascii="Times New Roman" w:hAnsi="Times New Roman"/>
          <w:b w:val="false"/>
          <w:i w:val="false"/>
          <w:color w:val="000000"/>
          <w:sz w:val="22"/>
        </w:rPr>
        <w:t>means any death occurring while a woman is pregnant or within one year of the end of the pregnancy from any cause. This includes deaths resulting from abortions, ectopic pregnancies and all deaths during pregnancy, childbirth, puerperium or deaths from complications of childbirth.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“Multidisciplinary team” </w:t>
      </w:r>
      <w:r>
        <w:rPr>
          <w:rFonts w:ascii="Times New Roman" w:hAnsi="Times New Roman"/>
          <w:b w:val="false"/>
          <w:i w:val="false"/>
          <w:color w:val="000000"/>
          <w:sz w:val="22"/>
        </w:rPr>
        <w:t xml:space="preserve">means the group of individuals as defined in Iowa Code section </w:t>
      </w:r>
      <w:hyperlink r:id="rId6">
        <w:r>
          <w:rPr>
            <w:rStyle w:val="Hyperlink"/>
            <w:rFonts w:ascii="Times New Roman" w:hAnsi="Times New Roman"/>
            <w:b w:val="false"/>
            <w:i w:val="false"/>
            <w:color w:val="000000"/>
            <w:sz w:val="22"/>
          </w:rPr>
          <w:t>235A.13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8971C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641—90.2</w:t>
      </w:r>
      <w:r>
        <w:rPr>
          <w:rFonts w:ascii="Times New Roman" w:hAnsi="Times New Roman"/>
          <w:b/>
          <w:i w:val="false"/>
          <w:color w:val="000000"/>
          <w:sz w:val="22"/>
        </w:rPr>
        <w:t xml:space="preserve">(135) </w:t>
      </w:r>
      <w:r>
        <w:rPr>
          <w:rFonts w:ascii="Times New Roman" w:hAnsi="Times New Roman"/>
          <w:b/>
          <w:i w:val="false"/>
          <w:color w:val="000000"/>
          <w:sz w:val="22"/>
        </w:rPr>
        <w:t xml:space="preserve">Agency. </w:t>
      </w:r>
      <w:r>
        <w:rPr>
          <w:rFonts w:ascii="Times New Roman" w:hAnsi="Times New Roman"/>
          <w:b w:val="false"/>
          <w:i w:val="false"/>
          <w:color w:val="000000"/>
          <w:sz w:val="22"/>
        </w:rPr>
        <w:t>The state mortality review committee is established in the department.  The department will provide staffing and administrative support to the committee.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8971C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641—90.3</w:t>
      </w:r>
      <w:r>
        <w:rPr>
          <w:rFonts w:ascii="Times New Roman" w:hAnsi="Times New Roman"/>
          <w:b/>
          <w:i w:val="false"/>
          <w:color w:val="000000"/>
          <w:sz w:val="22"/>
        </w:rPr>
        <w:t xml:space="preserve">(135) </w:t>
      </w:r>
      <w:r>
        <w:rPr>
          <w:rFonts w:ascii="Times New Roman" w:hAnsi="Times New Roman"/>
          <w:b/>
          <w:i w:val="false"/>
          <w:color w:val="000000"/>
          <w:sz w:val="22"/>
        </w:rPr>
        <w:t xml:space="preserve">Membership. </w:t>
      </w:r>
      <w:r>
        <w:rPr>
          <w:rFonts w:ascii="Times New Roman" w:hAnsi="Times New Roman"/>
          <w:b w:val="false"/>
          <w:i w:val="false"/>
          <w:color w:val="000000"/>
          <w:sz w:val="22"/>
        </w:rPr>
        <w:t xml:space="preserve">Committee membership will be determined pursuant to Iowa Code section </w:t>
      </w:r>
      <w:hyperlink r:id="rId7">
        <w:r>
          <w:rPr>
            <w:rStyle w:val="Hyperlink"/>
            <w:rFonts w:ascii="Times New Roman" w:hAnsi="Times New Roman"/>
            <w:b w:val="false"/>
            <w:i w:val="false"/>
            <w:color w:val="000000"/>
            <w:sz w:val="22"/>
          </w:rPr>
          <w:t>135.43(2)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8971C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641—90.4</w:t>
      </w:r>
      <w:r>
        <w:rPr>
          <w:rFonts w:ascii="Times New Roman" w:hAnsi="Times New Roman"/>
          <w:b/>
          <w:i w:val="false"/>
          <w:color w:val="000000"/>
          <w:sz w:val="22"/>
        </w:rPr>
        <w:t xml:space="preserve">(135) </w:t>
      </w:r>
      <w:r>
        <w:rPr>
          <w:rFonts w:ascii="Times New Roman" w:hAnsi="Times New Roman"/>
          <w:b/>
          <w:i w:val="false"/>
          <w:color w:val="000000"/>
          <w:sz w:val="22"/>
        </w:rPr>
        <w:t xml:space="preserve">Officers. </w:t>
      </w:r>
      <w:r>
        <w:rPr>
          <w:rFonts w:ascii="Times New Roman" w:hAnsi="Times New Roman"/>
          <w:b w:val="false"/>
          <w:i w:val="false"/>
          <w:color w:val="000000"/>
          <w:sz w:val="22"/>
        </w:rPr>
        <w:t>The committee will elect a chairperson, a vice chairperson, and other officers as deemed necessary by the committee. Officers will be elected at the first meeting of each fiscal year. Vacancy in the office of the chairperson will be filled by elevation of the vice chairperson. Vacancy in the office of the vice chairperson will be filled by election at the next meeting after the vacancy occurs. The chairperson will preside at all meetings of the committee.  If the chairperson is absent or unable to act, the vice chairperson will perform the duties of the chairperson. When so acting, the vice chairperson will have all the powers of and be subject to all restrictions upon the chairperson. The vice chairperson will also perform such other duties as may be assigned by the chairperson.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8971C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641—90.5</w:t>
      </w:r>
      <w:r>
        <w:rPr>
          <w:rFonts w:ascii="Times New Roman" w:hAnsi="Times New Roman"/>
          <w:b/>
          <w:i w:val="false"/>
          <w:color w:val="000000"/>
          <w:sz w:val="22"/>
        </w:rPr>
        <w:t xml:space="preserve">(135) </w:t>
      </w:r>
      <w:r>
        <w:rPr>
          <w:rFonts w:ascii="Times New Roman" w:hAnsi="Times New Roman"/>
          <w:b/>
          <w:i w:val="false"/>
          <w:color w:val="000000"/>
          <w:sz w:val="22"/>
        </w:rPr>
        <w:t xml:space="preserve">Subcommittees.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90.5(1)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committee may establish temporary or permanent subcommittees pursuant to Iowa Code sections </w:t>
      </w:r>
      <w:hyperlink r:id="rId8">
        <w:r>
          <w:rPr>
            <w:rStyle w:val="Hyperlink"/>
            <w:rFonts w:ascii="Times New Roman" w:hAnsi="Times New Roman"/>
            <w:b w:val="false"/>
            <w:i w:val="false"/>
            <w:color w:val="000000"/>
            <w:sz w:val="22"/>
          </w:rPr>
          <w:t>135.40</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135.43</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135.110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90.5(2)</w:t>
      </w:r>
      <w:r>
        <w:rPr>
          <w:rFonts w:ascii="Times New Roman" w:hAnsi="Times New Roman"/>
          <w:b w:val="false"/>
          <w:i w:val="false"/>
          <w:color w:val="000000"/>
          <w:sz w:val="22"/>
        </w:rPr>
        <w:t> </w:t>
      </w:r>
      <w:r>
        <w:rPr>
          <w:rFonts w:ascii="Times New Roman" w:hAnsi="Times New Roman"/>
          <w:b w:val="false"/>
          <w:i w:val="false"/>
          <w:color w:val="000000"/>
          <w:sz w:val="22"/>
        </w:rPr>
        <w:t>The committee shall establish appointment provisions, membership terms, operating guidelines, and other operational requirements for any subcommittees established.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8971C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641—90.6</w:t>
      </w:r>
      <w:r>
        <w:rPr>
          <w:rFonts w:ascii="Times New Roman" w:hAnsi="Times New Roman"/>
          <w:b/>
          <w:i w:val="false"/>
          <w:color w:val="000000"/>
          <w:sz w:val="22"/>
        </w:rPr>
        <w:t xml:space="preserve">(135) </w:t>
      </w:r>
      <w:r>
        <w:rPr>
          <w:rFonts w:ascii="Times New Roman" w:hAnsi="Times New Roman"/>
          <w:b/>
          <w:i w:val="false"/>
          <w:color w:val="000000"/>
          <w:sz w:val="22"/>
        </w:rPr>
        <w:t xml:space="preserve">Liaisons. </w:t>
      </w:r>
      <w:r>
        <w:rPr>
          <w:rFonts w:ascii="Times New Roman" w:hAnsi="Times New Roman"/>
          <w:b w:val="false"/>
          <w:i w:val="false"/>
          <w:color w:val="000000"/>
          <w:sz w:val="22"/>
        </w:rPr>
        <w:t xml:space="preserve">Liaisons will be designated pursuant to Iowa Code section </w:t>
      </w:r>
      <w:hyperlink r:id="rId11">
        <w:r>
          <w:rPr>
            <w:rStyle w:val="Hyperlink"/>
            <w:rFonts w:ascii="Times New Roman" w:hAnsi="Times New Roman"/>
            <w:b w:val="false"/>
            <w:i w:val="false"/>
            <w:color w:val="000000"/>
            <w:sz w:val="22"/>
          </w:rPr>
          <w:t>135.43(5)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8971C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641—90.7</w:t>
      </w:r>
      <w:r>
        <w:rPr>
          <w:rFonts w:ascii="Times New Roman" w:hAnsi="Times New Roman"/>
          <w:b/>
          <w:i w:val="false"/>
          <w:color w:val="000000"/>
          <w:sz w:val="22"/>
        </w:rPr>
        <w:t xml:space="preserve">(135) </w:t>
      </w:r>
      <w:r>
        <w:rPr>
          <w:rFonts w:ascii="Times New Roman" w:hAnsi="Times New Roman"/>
          <w:b/>
          <w:i w:val="false"/>
          <w:color w:val="000000"/>
          <w:sz w:val="22"/>
        </w:rPr>
        <w:t xml:space="preserve">Meetings. </w:t>
      </w:r>
      <w:r>
        <w:rPr>
          <w:rFonts w:ascii="Times New Roman" w:hAnsi="Times New Roman"/>
          <w:b w:val="false"/>
          <w:i w:val="false"/>
          <w:color w:val="000000"/>
          <w:sz w:val="22"/>
        </w:rPr>
        <w:t xml:space="preserve">The committee will meet pursuant to Iowa Code section </w:t>
      </w:r>
      <w:hyperlink r:id="rId12">
        <w:r>
          <w:rPr>
            <w:rStyle w:val="Hyperlink"/>
            <w:rFonts w:ascii="Times New Roman" w:hAnsi="Times New Roman"/>
            <w:b w:val="false"/>
            <w:i w:val="false"/>
            <w:color w:val="000000"/>
            <w:sz w:val="22"/>
          </w:rPr>
          <w:t>135.110(3)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8971C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641—90.8</w:t>
      </w:r>
      <w:r>
        <w:rPr>
          <w:rFonts w:ascii="Times New Roman" w:hAnsi="Times New Roman"/>
          <w:b/>
          <w:i w:val="false"/>
          <w:color w:val="000000"/>
          <w:sz w:val="22"/>
        </w:rPr>
        <w:t xml:space="preserve">(135) </w:t>
      </w:r>
      <w:r>
        <w:rPr>
          <w:rFonts w:ascii="Times New Roman" w:hAnsi="Times New Roman"/>
          <w:b/>
          <w:i w:val="false"/>
          <w:color w:val="000000"/>
          <w:sz w:val="22"/>
        </w:rPr>
        <w:t xml:space="preserve">Duties and responsibilities.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90.8(1)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committee will be responsible for the duties established in Iowa Code sections </w:t>
      </w:r>
      <w:hyperlink r:id="rId13">
        <w:r>
          <w:rPr>
            <w:rStyle w:val="Hyperlink"/>
            <w:rFonts w:ascii="Times New Roman" w:hAnsi="Times New Roman"/>
            <w:b w:val="false"/>
            <w:i w:val="false"/>
            <w:color w:val="000000"/>
            <w:sz w:val="22"/>
          </w:rPr>
          <w:t>135.43(3)</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135.110(1)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90.8(2)</w:t>
      </w:r>
      <w:r>
        <w:rPr>
          <w:rFonts w:ascii="Times New Roman" w:hAnsi="Times New Roman"/>
          <w:b w:val="false"/>
          <w:i w:val="false"/>
          <w:color w:val="000000"/>
          <w:sz w:val="22"/>
        </w:rPr>
        <w:t> </w:t>
      </w:r>
      <w:r>
        <w:rPr>
          <w:rFonts w:ascii="Times New Roman" w:hAnsi="Times New Roman"/>
          <w:b w:val="false"/>
          <w:i w:val="false"/>
          <w:color w:val="000000"/>
          <w:sz w:val="22"/>
        </w:rPr>
        <w:t>The committee will conduct comprehensive, multidisciplinary reviews of maternal deaths or other deaths in Iowa to residents to identify factors associated with the deaths and make recommendations for system changes to prevent future deaths.</w:t>
      </w:r>
    </w:p>
    <w:p>
      <w:pPr>
        <w:spacing w:before="0" w:after="0"/>
        <w:ind w:left="120"/>
        <w:jc w:val="both"/>
      </w:pPr>
      <w:r>
        <w:rPr>
          <w:rFonts w:ascii="Times New Roman" w:hAnsi="Times New Roman"/>
          <w:b w:val="false"/>
          <w:i w:val="false"/>
          <w:color w:val="000000"/>
          <w:sz w:val="22"/>
        </w:rPr>
        <w:t>The department annually shall systematically ascertain maternal deaths using birth, fetal death and death vital records.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8971C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641—90.9</w:t>
      </w:r>
      <w:r>
        <w:rPr>
          <w:rFonts w:ascii="Times New Roman" w:hAnsi="Times New Roman"/>
          <w:b/>
          <w:i w:val="false"/>
          <w:color w:val="000000"/>
          <w:sz w:val="22"/>
        </w:rPr>
        <w:t xml:space="preserve">(135) </w:t>
      </w:r>
      <w:r>
        <w:rPr>
          <w:rFonts w:ascii="Times New Roman" w:hAnsi="Times New Roman"/>
          <w:b/>
          <w:i w:val="false"/>
          <w:color w:val="000000"/>
          <w:sz w:val="22"/>
        </w:rPr>
        <w:t xml:space="preserve">Disclosure of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90.9(1)</w:t>
      </w:r>
      <w:r>
        <w:rPr>
          <w:rFonts w:ascii="Times New Roman" w:hAnsi="Times New Roman"/>
          <w:b w:val="false"/>
          <w:i w:val="false"/>
          <w:color w:val="000000"/>
          <w:sz w:val="22"/>
        </w:rPr>
        <w:t> </w:t>
      </w:r>
      <w:r>
        <w:rPr>
          <w:rFonts w:ascii="Times New Roman" w:hAnsi="Times New Roman"/>
          <w:b w:val="false"/>
          <w:i w:val="false"/>
          <w:color w:val="000000"/>
          <w:sz w:val="22"/>
        </w:rPr>
        <w:t>The committee and subcommittees shall have access to patient records and other confidential information. In preparation for review of an individual death by the committee or subcommittee, the chairperson of the committee or the chairperson’s designee is authorized to gather all information pertinent to the review. A person in possession or control of medical, investigative or other information pertaining to a child death, child abuse, domestic abuse, maternal death, or other death review with an established subcommittee shall allow the inspection and reproduction of the information by the department, upon the request of the department, to be used only in the administration and for the duties of the committee. A person does not incur legal liability by reason of releasing information to the department as mandated under and in compliance with this rule.</w:t>
      </w:r>
    </w:p>
    <w:p>
      <w:pPr>
        <w:spacing w:before="0" w:after="0"/>
        <w:ind w:left="120"/>
        <w:jc w:val="both"/>
      </w:pPr>
      <w:r>
        <w:rPr>
          <w:rFonts w:ascii="Times New Roman" w:hAnsi="Times New Roman"/>
          <w:b w:val="false"/>
          <w:i w:val="false"/>
          <w:color w:val="000000"/>
          <w:sz w:val="22"/>
        </w:rPr>
        <w:t xml:space="preserve">The committee and subcommittees will maintain the confidentiality of all information and records used in the review, including disclosure of information that is confidential under Iowa Code chapter </w:t>
      </w:r>
      <w:hyperlink r:id="rId15">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or any other provisions of state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90.9(2)</w:t>
      </w:r>
      <w:r>
        <w:rPr>
          <w:rFonts w:ascii="Times New Roman" w:hAnsi="Times New Roman"/>
          <w:b w:val="false"/>
          <w:i w:val="false"/>
          <w:color w:val="000000"/>
          <w:sz w:val="22"/>
        </w:rPr>
        <w:t> </w:t>
      </w:r>
      <w:r>
        <w:rPr>
          <w:rFonts w:ascii="Times New Roman" w:hAnsi="Times New Roman"/>
          <w:b w:val="false"/>
          <w:i w:val="false"/>
          <w:color w:val="000000"/>
          <w:sz w:val="22"/>
        </w:rPr>
        <w:t>In the event of a maternal death, the certifying physician shall indicate that circumstance on the certificate of death.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90.9(3)</w:t>
      </w:r>
      <w:r>
        <w:rPr>
          <w:rFonts w:ascii="Times New Roman" w:hAnsi="Times New Roman"/>
          <w:b w:val="false"/>
          <w:i w:val="false"/>
          <w:color w:val="000000"/>
          <w:sz w:val="22"/>
        </w:rPr>
        <w:t> </w:t>
      </w:r>
      <w:r>
        <w:rPr>
          <w:rFonts w:ascii="Times New Roman" w:hAnsi="Times New Roman"/>
          <w:b w:val="false"/>
          <w:i w:val="false"/>
          <w:color w:val="000000"/>
          <w:sz w:val="22"/>
        </w:rPr>
        <w:t>Any person, hospital, sanatorium, or other organization shall make available to the department for inspection records, reports, statements, interviews or other data necessary to fulfill the duties of the committee or subcommittees.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8971C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641—90.10</w:t>
      </w:r>
      <w:r>
        <w:rPr>
          <w:rFonts w:ascii="Times New Roman" w:hAnsi="Times New Roman"/>
          <w:b/>
          <w:i w:val="false"/>
          <w:color w:val="000000"/>
          <w:sz w:val="22"/>
        </w:rPr>
        <w:t xml:space="preserve">(135) </w:t>
      </w:r>
      <w:r>
        <w:rPr>
          <w:rFonts w:ascii="Times New Roman" w:hAnsi="Times New Roman"/>
          <w:b/>
          <w:i w:val="false"/>
          <w:color w:val="000000"/>
          <w:sz w:val="22"/>
        </w:rPr>
        <w:t xml:space="preserve">Immunity and liability. </w:t>
      </w:r>
      <w:r>
        <w:rPr>
          <w:rFonts w:ascii="Times New Roman" w:hAnsi="Times New Roman"/>
          <w:b w:val="false"/>
          <w:i w:val="false"/>
          <w:color w:val="000000"/>
          <w:sz w:val="22"/>
        </w:rPr>
        <w:t xml:space="preserve">Committee and subcommittee members are immune from any liability, civil or criminal, as established in Iowa Code section </w:t>
      </w:r>
      <w:hyperlink r:id="rId16">
        <w:r>
          <w:rPr>
            <w:rStyle w:val="Hyperlink"/>
            <w:rFonts w:ascii="Times New Roman" w:hAnsi="Times New Roman"/>
            <w:b w:val="false"/>
            <w:i w:val="false"/>
            <w:color w:val="000000"/>
            <w:sz w:val="22"/>
          </w:rPr>
          <w:t>135.43(8)</w:t>
        </w:r>
      </w:hyperlink>
      <w:r>
        <w:rPr>
          <w:rFonts w:ascii="Times New Roman" w:hAnsi="Times New Roman"/>
          <w:b w:val="false"/>
          <w:i w:val="false"/>
          <w:color w:val="000000"/>
          <w:sz w:val="22"/>
        </w:rPr>
        <w:t>. A person who releases or discloses confidential data, records, or any other type of information in violation of this chapter is guilty of a serious misdemeanor.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8971C</w:t>
      </w:r>
      <w:r>
        <w:rPr>
          <w:rFonts w:ascii="Times New Roman" w:hAnsi="Times New Roman"/>
          <w:b w:val="false"/>
          <w:i w:val="false"/>
          <w:color w:val="000000"/>
          <w:sz w:val="16"/>
        </w:rPr>
        <w:t>, IAB 2/19/25, effective 4/1/25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w:t>
      </w:r>
      <w:r>
        <w:rPr>
          <w:rFonts w:ascii="Times New Roman" w:hAnsi="Times New Roman"/>
          <w:b w:val="false"/>
          <w:i w:val="false"/>
          <w:color w:val="000000"/>
          <w:sz w:val="22"/>
        </w:rPr>
        <w:t>2024 Iowa Acts, Senate File 2385</w:t>
      </w:r>
      <w:r>
        <w:rPr>
          <w:rFonts w:ascii="Times New Roman" w:hAnsi="Times New Roman"/>
          <w:b w:val="false"/>
          <w:i w:val="false"/>
          <w:color w:val="000000"/>
          <w:sz w:val="22"/>
        </w:rPr>
        <w:t xml:space="preserve">, and Iowa Code sections </w:t>
      </w:r>
      <w:hyperlink r:id="rId17">
        <w:r>
          <w:rPr>
            <w:rStyle w:val="Hyperlink"/>
            <w:rFonts w:ascii="Times New Roman" w:hAnsi="Times New Roman"/>
            <w:b w:val="false"/>
            <w:i w:val="false"/>
            <w:color w:val="000000"/>
            <w:sz w:val="22"/>
          </w:rPr>
          <w:t>135.40</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135.43</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135.108</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135.110</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135.111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3/15/96, Notice 1/31/96—published 4/10/96, effective 5/15/96]</w:t>
      </w:r>
    </w:p>
    <w:p>
      <w:pPr>
        <w:spacing w:before="0" w:after="0"/>
        <w:ind w:left="120"/>
        <w:jc w:val="center"/>
      </w:pPr>
      <w:r>
        <w:rPr>
          <w:rFonts w:ascii="Times New Roman" w:hAnsi="Times New Roman"/>
          <w:b w:val="false"/>
          <w:i w:val="false"/>
          <w:color w:val="000000"/>
          <w:sz w:val="21"/>
        </w:rPr>
        <w:t>[Filed 7/10/98, Notice 4/22/98—published 7/29/98, effective 9/2/98]</w:t>
      </w:r>
    </w:p>
    <w:p>
      <w:pPr>
        <w:spacing w:before="0" w:after="0"/>
        <w:ind w:left="120"/>
        <w:jc w:val="center"/>
      </w:pPr>
      <w:r>
        <w:rPr>
          <w:rFonts w:ascii="Times New Roman" w:hAnsi="Times New Roman"/>
          <w:b w:val="false"/>
          <w:i w:val="false"/>
          <w:color w:val="000000"/>
          <w:sz w:val="21"/>
        </w:rPr>
        <w:t>[Filed 11/30/00, Notice 10/4/00—published 12/27/00, effective 1/31/01]</w:t>
      </w:r>
    </w:p>
    <w:p>
      <w:pPr>
        <w:spacing w:before="0" w:after="0"/>
        <w:ind w:left="120"/>
        <w:jc w:val="center"/>
      </w:pPr>
      <w:r>
        <w:rPr>
          <w:rFonts w:ascii="Times New Roman" w:hAnsi="Times New Roman"/>
          <w:b w:val="false"/>
          <w:i w:val="false"/>
          <w:color w:val="000000"/>
          <w:sz w:val="21"/>
        </w:rPr>
        <w:t>[Filed ARC 9248B</w:t>
      </w:r>
      <w:r>
        <w:rPr>
          <w:rFonts w:ascii="Times New Roman" w:hAnsi="Times New Roman"/>
          <w:b w:val="false"/>
          <w:i w:val="false"/>
          <w:color w:val="000000"/>
          <w:sz w:val="21"/>
        </w:rPr>
        <w:t xml:space="preserve"> (Notice ARC 8973B, IAB 7/28/10)</w:t>
      </w:r>
      <w:r>
        <w:rPr>
          <w:rFonts w:ascii="Times New Roman" w:hAnsi="Times New Roman"/>
          <w:b w:val="false"/>
          <w:i w:val="false"/>
          <w:color w:val="000000"/>
          <w:sz w:val="21"/>
        </w:rPr>
        <w:t>, IAB 12/1/10, effective 1/5/11]</w:t>
      </w:r>
    </w:p>
    <w:p>
      <w:pPr>
        <w:spacing w:before="0" w:after="0"/>
        <w:ind w:left="120"/>
        <w:jc w:val="center"/>
      </w:pPr>
      <w:r>
        <w:rPr>
          <w:rFonts w:ascii="Times New Roman" w:hAnsi="Times New Roman"/>
          <w:b w:val="false"/>
          <w:i w:val="false"/>
          <w:color w:val="000000"/>
          <w:sz w:val="21"/>
        </w:rPr>
        <w:t>[Filed ARC 4703C</w:t>
      </w:r>
      <w:r>
        <w:rPr>
          <w:rFonts w:ascii="Times New Roman" w:hAnsi="Times New Roman"/>
          <w:b w:val="false"/>
          <w:i w:val="false"/>
          <w:color w:val="000000"/>
          <w:sz w:val="21"/>
        </w:rPr>
        <w:t xml:space="preserve"> (Notice ARC 4539C, IAB 7/17/19)</w:t>
      </w:r>
      <w:r>
        <w:rPr>
          <w:rFonts w:ascii="Times New Roman" w:hAnsi="Times New Roman"/>
          <w:b w:val="false"/>
          <w:i w:val="false"/>
          <w:color w:val="000000"/>
          <w:sz w:val="21"/>
        </w:rPr>
        <w:t>, IAB 10/9/19, effective 11/13/19]</w:t>
      </w:r>
    </w:p>
    <w:p>
      <w:pPr>
        <w:spacing w:before="0" w:after="0"/>
        <w:ind w:left="120"/>
        <w:jc w:val="center"/>
      </w:pPr>
      <w:r>
        <w:rPr>
          <w:rFonts w:ascii="Times New Roman" w:hAnsi="Times New Roman"/>
          <w:b w:val="false"/>
          <w:i w:val="false"/>
          <w:color w:val="000000"/>
          <w:sz w:val="21"/>
        </w:rPr>
        <w:t>[Filed ARC 8971C</w:t>
      </w:r>
      <w:r>
        <w:rPr>
          <w:rFonts w:ascii="Times New Roman" w:hAnsi="Times New Roman"/>
          <w:b w:val="false"/>
          <w:i w:val="false"/>
          <w:color w:val="000000"/>
          <w:sz w:val="21"/>
        </w:rPr>
        <w:t xml:space="preserve"> (Notice ARC 8569C, IAB 12/25/24)</w:t>
      </w:r>
      <w:r>
        <w:rPr>
          <w:rFonts w:ascii="Times New Roman" w:hAnsi="Times New Roman"/>
          <w:b w:val="false"/>
          <w:i w:val="false"/>
          <w:color w:val="000000"/>
          <w:sz w:val="21"/>
        </w:rPr>
        <w:t>, IAB 2/19/25, effective 4/1/25]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32.71B.pdf" Type="http://schemas.openxmlformats.org/officeDocument/2006/relationships/hyperlink" Id="rId5"/>
    <Relationship TargetMode="External" Target="https://www.legis.iowa.gov/docs/ico/chapter/235A.13.pdf" Type="http://schemas.openxmlformats.org/officeDocument/2006/relationships/hyperlink" Id="rId6"/>
    <Relationship TargetMode="External" Target="https://www.legis.iowa.gov/docs/ico/chapter/135.43.pdf" Type="http://schemas.openxmlformats.org/officeDocument/2006/relationships/hyperlink" Id="rId7"/>
    <Relationship TargetMode="External" Target="https://www.legis.iowa.gov/docs/ico/chapter/135.40.pdf" Type="http://schemas.openxmlformats.org/officeDocument/2006/relationships/hyperlink" Id="rId8"/>
    <Relationship TargetMode="External" Target="https://www.legis.iowa.gov/docs/ico/chapter/135.43.pdf" Type="http://schemas.openxmlformats.org/officeDocument/2006/relationships/hyperlink" Id="rId9"/>
    <Relationship TargetMode="External" Target="https://www.legis.iowa.gov/docs/ico/chapter/135.110.pdf" Type="http://schemas.openxmlformats.org/officeDocument/2006/relationships/hyperlink" Id="rId10"/>
    <Relationship TargetMode="External" Target="https://www.legis.iowa.gov/docs/ico/chapter/135.43.pdf" Type="http://schemas.openxmlformats.org/officeDocument/2006/relationships/hyperlink" Id="rId11"/>
    <Relationship TargetMode="External" Target="https://www.legis.iowa.gov/docs/ico/chapter/135.110.pdf" Type="http://schemas.openxmlformats.org/officeDocument/2006/relationships/hyperlink" Id="rId12"/>
    <Relationship TargetMode="External" Target="https://www.legis.iowa.gov/docs/ico/chapter/135.43.pdf" Type="http://schemas.openxmlformats.org/officeDocument/2006/relationships/hyperlink" Id="rId13"/>
    <Relationship TargetMode="External" Target="https://www.legis.iowa.gov/docs/ico/chapter/135.110.pdf" Type="http://schemas.openxmlformats.org/officeDocument/2006/relationships/hyperlink" Id="rId14"/>
    <Relationship TargetMode="External" Target="https://www.legis.iowa.gov/docs/ico/chapter/22.pdf" Type="http://schemas.openxmlformats.org/officeDocument/2006/relationships/hyperlink" Id="rId15"/>
    <Relationship TargetMode="External" Target="https://www.legis.iowa.gov/docs/ico/chapter/135.43.pdf" Type="http://schemas.openxmlformats.org/officeDocument/2006/relationships/hyperlink" Id="rId16"/>
    <Relationship TargetMode="External" Target="https://www.legis.iowa.gov/docs/ico/chapter/135.40.pdf" Type="http://schemas.openxmlformats.org/officeDocument/2006/relationships/hyperlink" Id="rId17"/>
    <Relationship TargetMode="External" Target="https://www.legis.iowa.gov/docs/ico/chapter/135.43.pdf" Type="http://schemas.openxmlformats.org/officeDocument/2006/relationships/hyperlink" Id="rId18"/>
    <Relationship TargetMode="External" Target="https://www.legis.iowa.gov/docs/ico/chapter/135.108.pdf" Type="http://schemas.openxmlformats.org/officeDocument/2006/relationships/hyperlink" Id="rId19"/>
    <Relationship TargetMode="External" Target="https://www.legis.iowa.gov/docs/ico/chapter/135.110.pdf" Type="http://schemas.openxmlformats.org/officeDocument/2006/relationships/hyperlink" Id="rId20"/>
    <Relationship TargetMode="External" Target="https://www.legis.iowa.gov/docs/ico/chapter/135.111.pdf" Type="http://schemas.openxmlformats.org/officeDocument/2006/relationships/hyperlink" Id="rId2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