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72</w:t>
      </w:r>
    </w:p>
    <w:p>
      <w:pPr>
        <w:spacing w:before="0" w:after="0"/>
        <w:ind w:left="120"/>
        <w:jc w:val="center"/>
      </w:pPr>
      <w:r>
        <w:rPr>
          <w:rFonts w:ascii="Times New Roman" w:hAnsi="Times New Roman"/>
          <w:b w:val="false"/>
          <w:i w:val="false"/>
          <w:color w:val="000000"/>
          <w:sz w:val="21"/>
        </w:rPr>
        <w:t xml:space="preserve">CHILDHOOD LEAD POISONING </w:t>
      </w:r>
      <w:r>
        <w:br/>
      </w:r>
      <w:r>
        <w:rPr>
          <w:rFonts w:ascii="Times New Roman" w:hAnsi="Times New Roman"/>
          <w:b w:val="false"/>
          <w:i w:val="false"/>
          <w:color w:val="000000"/>
          <w:sz w:val="21"/>
        </w:rPr>
        <w:t>PREVENTION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641—72.1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 </w:t>
      </w:r>
      <w:r>
        <w:rPr>
          <w:rFonts w:ascii="Times New Roman" w:hAnsi="Times New Roman"/>
          <w:b w:val="false"/>
          <w:i w:val="false"/>
          <w:color w:val="000000"/>
          <w:sz w:val="22"/>
        </w:rPr>
        <w:t xml:space="preserve">means a program that meets the requirements of Iowa Code section </w:t>
      </w:r>
      <w:hyperlink r:id="rId5">
        <w:r>
          <w:rPr>
            <w:rStyle w:val="Hyperlink"/>
            <w:rFonts w:ascii="Times New Roman" w:hAnsi="Times New Roman"/>
            <w:b w:val="false"/>
            <w:i w:val="false"/>
            <w:color w:val="000000"/>
            <w:sz w:val="22"/>
          </w:rPr>
          <w:t>135.104</w:t>
        </w:r>
      </w:hyperlink>
      <w:r>
        <w:rPr>
          <w:rFonts w:ascii="Times New Roman" w:hAnsi="Times New Roman"/>
          <w:b w:val="false"/>
          <w:i w:val="false"/>
          <w:color w:val="000000"/>
          <w:sz w:val="22"/>
        </w:rPr>
        <w:t xml:space="preserve"> and has been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“Local board” </w:t>
      </w:r>
      <w:r>
        <w:rPr>
          <w:rFonts w:ascii="Times New Roman" w:hAnsi="Times New Roman"/>
          <w:b w:val="false"/>
          <w:i w:val="false"/>
          <w:color w:val="000000"/>
          <w:sz w:val="22"/>
        </w:rPr>
        <w:t>means a county, district, or city board of health.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9074C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641—72.2</w:t>
      </w:r>
      <w:r>
        <w:rPr>
          <w:rFonts w:ascii="Times New Roman" w:hAnsi="Times New Roman"/>
          <w:b/>
          <w:i w:val="false"/>
          <w:color w:val="000000"/>
          <w:sz w:val="22"/>
        </w:rPr>
        <w:t xml:space="preserve">(135) </w:t>
      </w:r>
      <w:r>
        <w:rPr>
          <w:rFonts w:ascii="Times New Roman" w:hAnsi="Times New Roman"/>
          <w:b/>
          <w:i w:val="false"/>
          <w:color w:val="000000"/>
          <w:sz w:val="22"/>
        </w:rPr>
        <w:t xml:space="preserve">Approved programs.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72.2(1)</w:t>
      </w:r>
      <w:r>
        <w:rPr>
          <w:rFonts w:ascii="Times New Roman" w:hAnsi="Times New Roman"/>
          <w:b w:val="false"/>
          <w:i w:val="false"/>
          <w:color w:val="000000"/>
          <w:sz w:val="22"/>
        </w:rPr>
        <w:t> </w:t>
      </w:r>
      <w:r>
        <w:rPr>
          <w:rFonts w:ascii="Times New Roman" w:hAnsi="Times New Roman"/>
          <w:b w:val="false"/>
          <w:i w:val="false"/>
          <w:color w:val="000000"/>
          <w:sz w:val="22"/>
        </w:rPr>
        <w:t xml:space="preserve">A local board of health representing a geographic area with a population of at least 15,000 is eligible to apply for status as an approved program pursuant to Iowa Code section </w:t>
      </w:r>
      <w:hyperlink r:id="rId6">
        <w:r>
          <w:rPr>
            <w:rStyle w:val="Hyperlink"/>
            <w:rFonts w:ascii="Times New Roman" w:hAnsi="Times New Roman"/>
            <w:b w:val="false"/>
            <w:i w:val="false"/>
            <w:color w:val="000000"/>
            <w:sz w:val="22"/>
          </w:rPr>
          <w:t>135.104</w:t>
        </w:r>
      </w:hyperlink>
      <w:r>
        <w:rPr>
          <w:rFonts w:ascii="Times New Roman" w:hAnsi="Times New Roman"/>
          <w:b w:val="false"/>
          <w:i w:val="false"/>
          <w:color w:val="000000"/>
          <w:sz w:val="22"/>
        </w:rPr>
        <w:t>, which sets forth the eligibility requirements contained in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72.2(2)</w:t>
      </w:r>
      <w:r>
        <w:rPr>
          <w:rFonts w:ascii="Times New Roman" w:hAnsi="Times New Roman"/>
          <w:b w:val="false"/>
          <w:i w:val="false"/>
          <w:color w:val="000000"/>
          <w:sz w:val="22"/>
        </w:rPr>
        <w:t> </w:t>
      </w:r>
      <w:r>
        <w:rPr>
          <w:rFonts w:ascii="Times New Roman" w:hAnsi="Times New Roman"/>
          <w:b w:val="false"/>
          <w:i w:val="false"/>
          <w:color w:val="000000"/>
          <w:sz w:val="22"/>
        </w:rPr>
        <w:t>A local board wishing to apply for status as an approved program shall make application to the department in the format available from the department. All materials submitted as part of the application for status as an approved program are public records.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9074C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7">
        <w:r>
          <w:rPr>
            <w:rStyle w:val="Hyperlink"/>
            <w:rFonts w:ascii="Times New Roman" w:hAnsi="Times New Roman"/>
            <w:b w:val="false"/>
            <w:i w:val="false"/>
            <w:color w:val="000000"/>
            <w:sz w:val="22"/>
          </w:rPr>
          <w:t>135.100</w:t>
        </w:r>
      </w:hyperlink>
      <w:r>
        <w:rPr>
          <w:rFonts w:ascii="Times New Roman" w:hAnsi="Times New Roman"/>
          <w:b w:val="false"/>
          <w:i w:val="false"/>
          <w:color w:val="000000"/>
          <w:sz w:val="22"/>
        </w:rPr>
        <w:t xml:space="preserve"> through </w:t>
      </w:r>
      <w:hyperlink r:id="rId8">
        <w:r>
          <w:rPr>
            <w:rStyle w:val="Hyperlink"/>
            <w:rFonts w:ascii="Times New Roman" w:hAnsi="Times New Roman"/>
            <w:b w:val="false"/>
            <w:i w:val="false"/>
            <w:color w:val="000000"/>
            <w:sz w:val="22"/>
          </w:rPr>
          <w:t>135.105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11/13/87, Notice 9/9/87—published 12/2/87, effective 1/6/88]</w:t>
      </w:r>
    </w:p>
    <w:p>
      <w:pPr>
        <w:spacing w:before="0" w:after="0"/>
        <w:ind w:left="120"/>
        <w:jc w:val="center"/>
      </w:pPr>
      <w:r>
        <w:rPr>
          <w:rFonts w:ascii="Times New Roman" w:hAnsi="Times New Roman"/>
          <w:b w:val="false"/>
          <w:i w:val="false"/>
          <w:color w:val="000000"/>
          <w:sz w:val="21"/>
        </w:rPr>
        <w:t>[Filed 9/14/01, Notice 8/8/01—published 10/3/01, effective 11/7/01]</w:t>
      </w:r>
    </w:p>
    <w:p>
      <w:pPr>
        <w:spacing w:before="0" w:after="0"/>
        <w:ind w:left="120"/>
        <w:jc w:val="center"/>
      </w:pPr>
      <w:r>
        <w:rPr>
          <w:rFonts w:ascii="Times New Roman" w:hAnsi="Times New Roman"/>
          <w:b w:val="false"/>
          <w:i w:val="false"/>
          <w:color w:val="000000"/>
          <w:sz w:val="21"/>
        </w:rPr>
        <w:t>[Filed 11/15/02, Notice 10/2/02—published 12/11/02, effective 1/15/03]</w:t>
      </w:r>
    </w:p>
    <w:p>
      <w:pPr>
        <w:spacing w:before="0" w:after="0"/>
        <w:ind w:left="120"/>
        <w:jc w:val="center"/>
      </w:pPr>
      <w:r>
        <w:rPr>
          <w:rFonts w:ascii="Times New Roman" w:hAnsi="Times New Roman"/>
          <w:b w:val="false"/>
          <w:i w:val="false"/>
          <w:color w:val="000000"/>
          <w:sz w:val="21"/>
        </w:rPr>
        <w:t>[Filed ARC 3833C</w:t>
      </w:r>
      <w:r>
        <w:rPr>
          <w:rFonts w:ascii="Times New Roman" w:hAnsi="Times New Roman"/>
          <w:b w:val="false"/>
          <w:i w:val="false"/>
          <w:color w:val="000000"/>
          <w:sz w:val="21"/>
        </w:rPr>
        <w:t xml:space="preserve"> (Notice ARC 3709C, IAB 3/28/18)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9074C</w:t>
      </w:r>
      <w:r>
        <w:rPr>
          <w:rFonts w:ascii="Times New Roman" w:hAnsi="Times New Roman"/>
          <w:b w:val="false"/>
          <w:i w:val="false"/>
          <w:color w:val="000000"/>
          <w:sz w:val="21"/>
        </w:rPr>
        <w:t xml:space="preserve"> (Notice ARC 8518C, IAB 12/11/24)</w:t>
      </w:r>
      <w:r>
        <w:rPr>
          <w:rFonts w:ascii="Times New Roman" w:hAnsi="Times New Roman"/>
          <w:b w:val="false"/>
          <w:i w:val="false"/>
          <w:color w:val="000000"/>
          <w:sz w:val="21"/>
        </w:rPr>
        <w:t>, IAB 4/2/25, effective 6/1/25]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104.pdf" Type="http://schemas.openxmlformats.org/officeDocument/2006/relationships/hyperlink" Id="rId5"/>
    <Relationship TargetMode="External" Target="https://www.legis.iowa.gov/docs/ico/chapter/135.104.pdf" Type="http://schemas.openxmlformats.org/officeDocument/2006/relationships/hyperlink" Id="rId6"/>
    <Relationship TargetMode="External" Target="https://www.legis.iowa.gov/docs/ico/chapter/135.100.pdf" Type="http://schemas.openxmlformats.org/officeDocument/2006/relationships/hyperlink" Id="rId7"/>
    <Relationship TargetMode="External" Target="https://www.legis.iowa.gov/docs/ico/chapter/135.105.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