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image/png" PartName="/word/media/document_image_rId19.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IMMUNIZATION AND IMMUNIZATION EDUCATION: PERSONS ATTENDING ELEMENTARY OR SECONDARY SCHOOLS, LICENSED CHILD CARE CENTERS OR INSTITUTIONS OF HIGHER EDUCATION</w:t>
      </w:r>
    </w:p>
    <w:p>
      <w:pPr>
        <w:spacing w:before="0" w:after="0"/>
        <w:ind w:left="120"/>
        <w:jc w:val="center"/>
      </w:pPr>
      <w:r>
        <w:rPr>
          <w:rFonts w:ascii="Times New Roman" w:hAnsi="Times New Roman"/>
          <w:b w:val="false"/>
          <w:i w:val="false"/>
          <w:color w:val="000000"/>
          <w:sz w:val="14"/>
        </w:rPr>
        <w:t>[Prior to 7/29/87, Health Department[470]]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7/3/29</w:t>
      </w:r>
    </w:p>
    <w:p>
      <w:pPr>
        <w:spacing w:before="0" w:after="0"/>
        <w:ind w:left="120"/>
        <w:jc w:val="both"/>
      </w:pPr>
      <w:r>
        <w:rPr>
          <w:rFonts w:ascii="Times New Roman" w:hAnsi="Times New Roman"/>
          <w:b/>
          <w:i w:val="false"/>
          <w:color w:val="000000"/>
          <w:sz w:val="22"/>
        </w:rPr>
        <w:t>641—7.1</w:t>
      </w:r>
      <w:r>
        <w:rPr>
          <w:rFonts w:ascii="Times New Roman" w:hAnsi="Times New Roman"/>
          <w:b/>
          <w:i w:val="false"/>
          <w:color w:val="000000"/>
          <w:sz w:val="22"/>
        </w:rPr>
        <w:t xml:space="preserve">(139A)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“Admitting official”</w:t>
      </w:r>
      <w:r>
        <w:rPr>
          <w:rFonts w:ascii="Times New Roman" w:hAnsi="Times New Roman"/>
          <w:b w:val="false"/>
          <w:i w:val="false"/>
          <w:color w:val="000000"/>
          <w:sz w:val="22"/>
        </w:rPr>
        <w:t> </w:t>
      </w:r>
      <w:r>
        <w:rPr>
          <w:rFonts w:ascii="Times New Roman" w:hAnsi="Times New Roman"/>
          <w:b w:val="false"/>
          <w:i w:val="false"/>
          <w:color w:val="000000"/>
          <w:sz w:val="22"/>
        </w:rPr>
        <w:t>means the superintendent of schools or the superintendent’s designated representative if a public school; if a nonpublic school or licensed child care center, the governing official of the school or child care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“Advanced registered nurse practitioner”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“ARNP”</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advanced registered nurse practitioner as defined in </w:t>
      </w:r>
      <w:hyperlink r:id="rId5">
        <w:r>
          <w:rPr>
            <w:rStyle w:val="Hyperlink"/>
            <w:rFonts w:ascii="Times New Roman" w:hAnsi="Times New Roman"/>
            <w:b w:val="false"/>
            <w:i w:val="false"/>
            <w:color w:val="000000"/>
            <w:sz w:val="22"/>
          </w:rPr>
          <w:t>655—Chapter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“Applicant”</w:t>
      </w:r>
      <w:r>
        <w:rPr>
          <w:rFonts w:ascii="Times New Roman" w:hAnsi="Times New Roman"/>
          <w:b w:val="false"/>
          <w:i w:val="false"/>
          <w:color w:val="000000"/>
          <w:sz w:val="22"/>
        </w:rPr>
        <w:t> </w:t>
      </w:r>
      <w:r>
        <w:rPr>
          <w:rFonts w:ascii="Times New Roman" w:hAnsi="Times New Roman"/>
          <w:b w:val="false"/>
          <w:i w:val="false"/>
          <w:color w:val="000000"/>
          <w:sz w:val="22"/>
        </w:rPr>
        <w:t>means any person seeking enrollment in a licensed child care center or elementary or secondary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medical assistant”</w:t>
      </w:r>
      <w:r>
        <w:rPr>
          <w:rFonts w:ascii="Times New Roman" w:hAnsi="Times New Roman"/>
          <w:b w:val="false"/>
          <w:i w:val="false"/>
          <w:color w:val="000000"/>
          <w:sz w:val="22"/>
        </w:rPr>
        <w:t> </w:t>
      </w:r>
      <w:r>
        <w:rPr>
          <w:rFonts w:ascii="Times New Roman" w:hAnsi="Times New Roman"/>
          <w:b w:val="false"/>
          <w:i w:val="false"/>
          <w:color w:val="000000"/>
          <w:sz w:val="22"/>
        </w:rPr>
        <w:t>means a person who is certified to practice as a certified medical assistant following completion of a postsecondary medical assistant program accredited by the Commission on Accreditation of Allied Health Education Programs or the Accrediting Bureau of Health Education Schools and successful completion of the certification examination and who is directed by a supervising physician, physician associate, or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“Competent private instruction”</w:t>
      </w:r>
      <w:r>
        <w:rPr>
          <w:rFonts w:ascii="Times New Roman" w:hAnsi="Times New Roman"/>
          <w:b w:val="false"/>
          <w:i w:val="false"/>
          <w:color w:val="000000"/>
          <w:sz w:val="22"/>
        </w:rPr>
        <w:t> </w:t>
      </w:r>
      <w:r>
        <w:rPr>
          <w:rFonts w:ascii="Times New Roman" w:hAnsi="Times New Roman"/>
          <w:b w:val="false"/>
          <w:i w:val="false"/>
          <w:color w:val="000000"/>
          <w:sz w:val="22"/>
        </w:rPr>
        <w:t xml:space="preserve">is as defined in Iowa Code section </w:t>
      </w:r>
      <w:hyperlink r:id="rId6">
        <w:r>
          <w:rPr>
            <w:rStyle w:val="Hyperlink"/>
            <w:rFonts w:ascii="Times New Roman" w:hAnsi="Times New Roman"/>
            <w:b w:val="false"/>
            <w:i w:val="false"/>
            <w:color w:val="000000"/>
            <w:sz w:val="22"/>
          </w:rPr>
          <w:t>299A.1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“Elementary school”</w:t>
      </w:r>
      <w:r>
        <w:rPr>
          <w:rFonts w:ascii="Times New Roman" w:hAnsi="Times New Roman"/>
          <w:b w:val="false"/>
          <w:i w:val="false"/>
          <w:color w:val="000000"/>
          <w:sz w:val="22"/>
        </w:rPr>
        <w:t> </w:t>
      </w:r>
      <w:r>
        <w:rPr>
          <w:rFonts w:ascii="Times New Roman" w:hAnsi="Times New Roman"/>
          <w:b w:val="false"/>
          <w:i w:val="false"/>
          <w:color w:val="000000"/>
          <w:sz w:val="22"/>
        </w:rPr>
        <w:t>means kindergarten if provided, and grades one through eight or grades one through six when grades seven and eight are included in a secondary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“Eligible postsecondary institution”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institution of higher learning under the control of the state board of regents, a community college established under Iowa Code chapter </w:t>
      </w:r>
      <w:hyperlink r:id="rId7">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 xml:space="preserve">, or an accredited private institution as defined in Iowa Code section </w:t>
      </w:r>
      <w:hyperlink r:id="rId8">
        <w:r>
          <w:rPr>
            <w:rStyle w:val="Hyperlink"/>
            <w:rFonts w:ascii="Times New Roman" w:hAnsi="Times New Roman"/>
            <w:b w:val="false"/>
            <w:i w:val="false"/>
            <w:color w:val="000000"/>
            <w:sz w:val="22"/>
          </w:rPr>
          <w:t>256.183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“Enrolled user”</w:t>
      </w:r>
      <w:r>
        <w:rPr>
          <w:rFonts w:ascii="Times New Roman" w:hAnsi="Times New Roman"/>
          <w:b w:val="false"/>
          <w:i w:val="false"/>
          <w:color w:val="000000"/>
          <w:sz w:val="22"/>
        </w:rPr>
        <w:t> </w:t>
      </w:r>
      <w:r>
        <w:rPr>
          <w:rFonts w:ascii="Times New Roman" w:hAnsi="Times New Roman"/>
          <w:b w:val="false"/>
          <w:i w:val="false"/>
          <w:color w:val="000000"/>
          <w:sz w:val="22"/>
        </w:rPr>
        <w:t>means a user of the registry who has completed an enrollment form that specifies the conditions under which the registry can be accessed and who has been issued an identification code and password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screening”</w:t>
      </w:r>
      <w:r>
        <w:rPr>
          <w:rFonts w:ascii="Times New Roman" w:hAnsi="Times New Roman"/>
          <w:b w:val="false"/>
          <w:i w:val="false"/>
          <w:color w:val="000000"/>
          <w:sz w:val="22"/>
        </w:rPr>
        <w:t> </w:t>
      </w:r>
      <w:r>
        <w:rPr>
          <w:rFonts w:ascii="Times New Roman" w:hAnsi="Times New Roman"/>
          <w:b w:val="false"/>
          <w:i w:val="false"/>
          <w:color w:val="000000"/>
          <w:sz w:val="22"/>
        </w:rPr>
        <w:t>means a vision screen, dental screen, or refugee health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“Immunization registry”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“registry”</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health and human services’ database of confidential, population-based, immunization and health screening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“Institution of higher education”</w:t>
      </w:r>
      <w:r>
        <w:rPr>
          <w:rFonts w:ascii="Times New Roman" w:hAnsi="Times New Roman"/>
          <w:b w:val="false"/>
          <w:i w:val="false"/>
          <w:color w:val="000000"/>
          <w:sz w:val="22"/>
        </w:rPr>
        <w:t> </w:t>
      </w:r>
      <w:r>
        <w:rPr>
          <w:rFonts w:ascii="Times New Roman" w:hAnsi="Times New Roman"/>
          <w:b w:val="false"/>
          <w:i w:val="false"/>
          <w:color w:val="000000"/>
          <w:sz w:val="22"/>
        </w:rPr>
        <w:t>means a postsecondary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“Nurse”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licensed to practice as a nurse pursuant to Iowa Code chapter </w:t>
      </w:r>
      <w:hyperlink r:id="rId9">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“On-campus residence hall or dormitory”</w:t>
      </w:r>
      <w:r>
        <w:rPr>
          <w:rFonts w:ascii="Times New Roman" w:hAnsi="Times New Roman"/>
          <w:b w:val="false"/>
          <w:i w:val="false"/>
          <w:color w:val="000000"/>
          <w:sz w:val="22"/>
        </w:rPr>
        <w:t> </w:t>
      </w:r>
      <w:r>
        <w:rPr>
          <w:rFonts w:ascii="Times New Roman" w:hAnsi="Times New Roman"/>
          <w:b w:val="false"/>
          <w:i w:val="false"/>
          <w:color w:val="000000"/>
          <w:sz w:val="22"/>
        </w:rPr>
        <w:t>means campus housing for students that is owned or leased by the institution of higher education and located on a recognized campus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“Pharmacist”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licensed to practice pharmacy pursuant to Iowa Code chapter </w:t>
      </w:r>
      <w:hyperlink r:id="rId10">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licensed to practice medicine and surgery or osteopathic medicine and surgery pursuant to Iowa Code chapter </w:t>
      </w:r>
      <w:hyperlink r:id="rId11">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 associate”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licensed to practice as a physician associate pursuant to Iowa Code chapter </w:t>
      </w:r>
      <w:hyperlink r:id="rId12">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“Postsecondary student”</w:t>
      </w:r>
      <w:r>
        <w:rPr>
          <w:rFonts w:ascii="Times New Roman" w:hAnsi="Times New Roman"/>
          <w:b w:val="false"/>
          <w:i w:val="false"/>
          <w:color w:val="000000"/>
          <w:sz w:val="22"/>
        </w:rPr>
        <w:t> </w:t>
      </w:r>
      <w:r>
        <w:rPr>
          <w:rFonts w:ascii="Times New Roman" w:hAnsi="Times New Roman"/>
          <w:b w:val="false"/>
          <w:i w:val="false"/>
          <w:color w:val="000000"/>
          <w:sz w:val="22"/>
        </w:rPr>
        <w:t>means a person who has officially registered with a postsecondary school, as determined by the school, and who physically attends class on the school’s campus. For purposes of these rules, “postsecondary student” does not include a person who is exclusively registered in a correspondence course or continuing education class or who attends class exclusively by means of distance learning or through other means that do not require the person’s physical presence on the school’s campus.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“Screening provider”</w:t>
      </w:r>
      <w:r>
        <w:rPr>
          <w:rFonts w:ascii="Times New Roman" w:hAnsi="Times New Roman"/>
          <w:b w:val="false"/>
          <w:i w:val="false"/>
          <w:color w:val="000000"/>
          <w:sz w:val="22"/>
        </w:rPr>
        <w:t> </w:t>
      </w:r>
      <w:r>
        <w:rPr>
          <w:rFonts w:ascii="Times New Roman" w:hAnsi="Times New Roman"/>
          <w:b w:val="false"/>
          <w:i w:val="false"/>
          <w:color w:val="000000"/>
          <w:sz w:val="22"/>
        </w:rPr>
        <w:t>means an ophthalmologist, optometrist, physician, free clinic, child care center, local public health department, public or accredited nonpublic school, community-based organization, advanced registered nurse practitioner (ARNP), physician associate, dentist or dental hygienist.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“Secondary school”</w:t>
      </w:r>
      <w:r>
        <w:rPr>
          <w:rFonts w:ascii="Times New Roman" w:hAnsi="Times New Roman"/>
          <w:b w:val="false"/>
          <w:i w:val="false"/>
          <w:color w:val="000000"/>
          <w:sz w:val="22"/>
        </w:rPr>
        <w:t>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junior high school comprising grades 7, 8 and 9, and a senior high school;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combined junior-senior high school comprising grades 7 through 12;</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junior high school comprising grades 7 and 8 and a high school comprising grades 9 through 12;</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high school comprising grades 9 through 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“Signature”</w:t>
      </w:r>
      <w:r>
        <w:rPr>
          <w:rFonts w:ascii="Times New Roman" w:hAnsi="Times New Roman"/>
          <w:b w:val="false"/>
          <w:i w:val="false"/>
          <w:color w:val="000000"/>
          <w:sz w:val="22"/>
        </w:rPr>
        <w:t> </w:t>
      </w:r>
      <w:r>
        <w:rPr>
          <w:rFonts w:ascii="Times New Roman" w:hAnsi="Times New Roman"/>
          <w:b w:val="false"/>
          <w:i w:val="false"/>
          <w:color w:val="000000"/>
          <w:sz w:val="22"/>
        </w:rPr>
        <w:t>means an original signature or the authorized use of a stamped signature or electronic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“Student”</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is enrolled in a licensed child care center, elementary school or secondary school.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8041C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641—7.2</w:t>
      </w:r>
      <w:r>
        <w:rPr>
          <w:rFonts w:ascii="Times New Roman" w:hAnsi="Times New Roman"/>
          <w:b/>
          <w:i w:val="false"/>
          <w:color w:val="000000"/>
          <w:sz w:val="22"/>
        </w:rPr>
        <w:t xml:space="preserve">(139A) </w:t>
      </w:r>
      <w:r>
        <w:rPr>
          <w:rFonts w:ascii="Times New Roman" w:hAnsi="Times New Roman"/>
          <w:b/>
          <w:i w:val="false"/>
          <w:color w:val="000000"/>
          <w:sz w:val="22"/>
        </w:rPr>
        <w:t xml:space="preserve">Persons included. </w:t>
      </w:r>
      <w:r>
        <w:rPr>
          <w:rFonts w:ascii="Times New Roman" w:hAnsi="Times New Roman"/>
          <w:b w:val="false"/>
          <w:i w:val="false"/>
          <w:color w:val="000000"/>
          <w:sz w:val="22"/>
        </w:rPr>
        <w:t>The immunization requirements specified elsewhere in these rules apply to all persons enrolled or attempting to enroll in a licensed child care center or a public or nonpublic elementary or secondary school in Iowa including those who are provided competent private instruction.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8041C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641—7.3</w:t>
      </w:r>
      <w:r>
        <w:rPr>
          <w:rFonts w:ascii="Times New Roman" w:hAnsi="Times New Roman"/>
          <w:b/>
          <w:i w:val="false"/>
          <w:color w:val="000000"/>
          <w:sz w:val="22"/>
        </w:rPr>
        <w:t xml:space="preserve">(139A) </w:t>
      </w:r>
      <w:r>
        <w:rPr>
          <w:rFonts w:ascii="Times New Roman" w:hAnsi="Times New Roman"/>
          <w:b/>
          <w:i w:val="false"/>
          <w:color w:val="000000"/>
          <w:sz w:val="22"/>
        </w:rPr>
        <w:t xml:space="preserve">Persons excluded. </w:t>
      </w:r>
      <w:r>
        <w:rPr>
          <w:rFonts w:ascii="Times New Roman" w:hAnsi="Times New Roman"/>
          <w:b w:val="false"/>
          <w:i w:val="false"/>
          <w:color w:val="000000"/>
          <w:sz w:val="22"/>
        </w:rPr>
        <w:t xml:space="preserve">Exclusions to these rules are permitted on an individual basis for medical and religious reasons pursuant to Iowa Code section </w:t>
      </w:r>
      <w:hyperlink r:id="rId13">
        <w:r>
          <w:rPr>
            <w:rStyle w:val="Hyperlink"/>
            <w:rFonts w:ascii="Times New Roman" w:hAnsi="Times New Roman"/>
            <w:b w:val="false"/>
            <w:i w:val="false"/>
            <w:color w:val="000000"/>
            <w:sz w:val="22"/>
          </w:rPr>
          <w:t>139A.8</w:t>
        </w:r>
      </w:hyperlink>
      <w:r>
        <w:rPr>
          <w:rFonts w:ascii="Times New Roman" w:hAnsi="Times New Roman"/>
          <w:b w:val="false"/>
          <w:i w:val="false"/>
          <w:color w:val="000000"/>
          <w:sz w:val="22"/>
        </w:rPr>
        <w:t>. Applicants approved for medical or religious exemptions shall submit to the admitting official a valid department certificate of immunization exemption.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valid, a medical certificate of immunization exemption shall contain, at a minimum, the applicant’s last name, first name, and date of birth, the vaccine(s) exempted, and an expiration date (if applicable) and shall bear the signature of a physician, nurse practitioner, or physician associate. Language included on the medical certificate of immunization exemption referencing rule </w:t>
      </w:r>
      <w:hyperlink r:id="rId14">
        <w:r>
          <w:rPr>
            <w:rStyle w:val="Hyperlink"/>
            <w:rFonts w:ascii="Times New Roman" w:hAnsi="Times New Roman"/>
            <w:b w:val="false"/>
            <w:i w:val="false"/>
            <w:color w:val="000000"/>
            <w:sz w:val="22"/>
          </w:rPr>
          <w:t>641—7.3</w:t>
        </w:r>
      </w:hyperlink>
      <w:r>
        <w:rPr>
          <w:rFonts w:ascii="Times New Roman" w:hAnsi="Times New Roman"/>
          <w:b w:val="false"/>
          <w:i w:val="false"/>
          <w:color w:val="000000"/>
          <w:sz w:val="22"/>
        </w:rPr>
        <w:t xml:space="preserve">(139A) cannot be altered. Any edits or alterations to the medical certificate of immunization exemption referencing rule </w:t>
      </w:r>
      <w:hyperlink r:id="rId15">
        <w:r>
          <w:rPr>
            <w:rStyle w:val="Hyperlink"/>
            <w:rFonts w:ascii="Times New Roman" w:hAnsi="Times New Roman"/>
            <w:b w:val="false"/>
            <w:i w:val="false"/>
            <w:color w:val="000000"/>
            <w:sz w:val="22"/>
          </w:rPr>
          <w:t>641—7.3</w:t>
        </w:r>
      </w:hyperlink>
      <w:r>
        <w:rPr>
          <w:rFonts w:ascii="Times New Roman" w:hAnsi="Times New Roman"/>
          <w:b w:val="false"/>
          <w:i w:val="false"/>
          <w:color w:val="000000"/>
          <w:sz w:val="22"/>
        </w:rPr>
        <w:t>(139A) will invalidate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medical exemption may apply to a specific vaccine(s) or all required vaccines. If, in the opinion of the physician, nurse practitioner, or physician associate issuing the medical exemption, the exemption should be terminated or reviewed at a future date, an expiration date shall be recorded on the certificate of immunization exemption;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medical exemption may apply when the administration of the required vaccine would violate minimum interval spacing and the exemption shall apply only to an applicant who has not received prior doses of the exempted vaccine. An expiration date, not to exceed 60 calendar days, and the name of the vaccine exempted shall be recorded on the medical certificate of exemption.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w:t>
      </w:r>
      <w:r>
        <w:rPr>
          <w:rFonts w:ascii="Times New Roman" w:hAnsi="Times New Roman"/>
          <w:b w:val="false"/>
          <w:i w:val="false"/>
          <w:color w:val="000000"/>
          <w:sz w:val="22"/>
        </w:rPr>
        <w:t> </w:t>
      </w:r>
      <w:r>
        <w:rPr>
          <w:rFonts w:ascii="Times New Roman" w:hAnsi="Times New Roman"/>
          <w:b w:val="false"/>
          <w:i w:val="false"/>
          <w:color w:val="000000"/>
          <w:sz w:val="22"/>
        </w:rPr>
        <w:t xml:space="preserve">A religious exemption may be granted to an applicant if immunization conflicts with a genuine and sincere religious belief. To be valid, a religious certificate of immunization exemption for religious reasons shall contain, at a minimum, the applicant’s last name, first name, and date of birth and shall bear the signature of the applicant or, if the applicant is a minor, of the applicant’s parent or guardian and shall attest that immunization conflicts with a genuine and sincere religious belief and that the belief is in fact religious and not based merely on philosophical, scientific, moral, personal, or medical opposition to immunizations. Language included on the religious certificate of immunization exemption referencing rule </w:t>
      </w:r>
      <w:hyperlink r:id="rId16">
        <w:r>
          <w:rPr>
            <w:rStyle w:val="Hyperlink"/>
            <w:rFonts w:ascii="Times New Roman" w:hAnsi="Times New Roman"/>
            <w:b w:val="false"/>
            <w:i w:val="false"/>
            <w:color w:val="000000"/>
            <w:sz w:val="22"/>
          </w:rPr>
          <w:t>641—7.3</w:t>
        </w:r>
      </w:hyperlink>
      <w:r>
        <w:rPr>
          <w:rFonts w:ascii="Times New Roman" w:hAnsi="Times New Roman"/>
          <w:b w:val="false"/>
          <w:i w:val="false"/>
          <w:color w:val="000000"/>
          <w:sz w:val="22"/>
        </w:rPr>
        <w:t xml:space="preserve">(139A) cannot be altered. Any edits or alterations to the religious certificate of immunization exemption referencing rule </w:t>
      </w:r>
      <w:hyperlink r:id="rId17">
        <w:r>
          <w:rPr>
            <w:rStyle w:val="Hyperlink"/>
            <w:rFonts w:ascii="Times New Roman" w:hAnsi="Times New Roman"/>
            <w:b w:val="false"/>
            <w:i w:val="false"/>
            <w:color w:val="000000"/>
            <w:sz w:val="22"/>
          </w:rPr>
          <w:t>641—7.3</w:t>
        </w:r>
      </w:hyperlink>
      <w:r>
        <w:rPr>
          <w:rFonts w:ascii="Times New Roman" w:hAnsi="Times New Roman"/>
          <w:b w:val="false"/>
          <w:i w:val="false"/>
          <w:color w:val="000000"/>
          <w:sz w:val="22"/>
        </w:rPr>
        <w:t>(139A) will invalidate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and religious exemptions do not apply in times of emergency or epidemic pursuant to Iowa Code section </w:t>
      </w:r>
      <w:hyperlink r:id="rId18">
        <w:r>
          <w:rPr>
            <w:rStyle w:val="Hyperlink"/>
            <w:rFonts w:ascii="Times New Roman" w:hAnsi="Times New Roman"/>
            <w:b w:val="false"/>
            <w:i w:val="false"/>
            <w:color w:val="000000"/>
            <w:sz w:val="22"/>
          </w:rPr>
          <w:t>139A.8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8041C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641—7.4</w:t>
      </w:r>
      <w:r>
        <w:rPr>
          <w:rFonts w:ascii="Times New Roman" w:hAnsi="Times New Roman"/>
          <w:b/>
          <w:i w:val="false"/>
          <w:color w:val="000000"/>
          <w:sz w:val="22"/>
        </w:rPr>
        <w:t xml:space="preserve">(139A) </w:t>
      </w:r>
      <w:r>
        <w:rPr>
          <w:rFonts w:ascii="Times New Roman" w:hAnsi="Times New Roman"/>
          <w:b/>
          <w:i w:val="false"/>
          <w:color w:val="000000"/>
          <w:sz w:val="22"/>
        </w:rPr>
        <w:t xml:space="preserve">Required immunizations.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w:t>
      </w:r>
      <w:r>
        <w:rPr>
          <w:rFonts w:ascii="Times New Roman" w:hAnsi="Times New Roman"/>
          <w:b w:val="false"/>
          <w:i w:val="false"/>
          <w:color w:val="000000"/>
          <w:sz w:val="22"/>
        </w:rPr>
        <w:t> </w:t>
      </w:r>
      <w:r>
        <w:rPr>
          <w:rFonts w:ascii="Times New Roman" w:hAnsi="Times New Roman"/>
          <w:b w:val="false"/>
          <w:i w:val="false"/>
          <w:color w:val="000000"/>
          <w:sz w:val="22"/>
        </w:rPr>
        <w:t>Applicants enrolled or attempting to enroll shall have received the following vaccines in accordance with the doses and age requirements below:</w:t>
      </w:r>
    </w:p>
    <w:p>
      <w:pPr>
        <w:spacing w:before="0" w:after="0"/>
        <w:ind w:left="120"/>
        <w:jc w:val="both"/>
      </w:pPr>
      <w:r>
        <w:drawing>
          <wp:inline distT="0" distB="0" distL="0" distR="0">
            <wp:extent cx="5063014" cy="6553248"/>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19"/>
                    <a:stretch>
                      <a:fillRect/>
                    </a:stretch>
                  </pic:blipFill>
                  <pic:spPr>
                    <a:xfrm>
                      <a:off x="0" y="0"/>
                      <a:ext cx="5063014" cy="6553248"/>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w:t>
      </w:r>
      <w:r>
        <w:rPr>
          <w:rFonts w:ascii="Times New Roman" w:hAnsi="Times New Roman"/>
          <w:b w:val="false"/>
          <w:i w:val="false"/>
          <w:color w:val="000000"/>
          <w:sz w:val="22"/>
        </w:rPr>
        <w:t> </w:t>
      </w:r>
      <w:r>
        <w:rPr>
          <w:rFonts w:ascii="Times New Roman" w:hAnsi="Times New Roman"/>
          <w:b w:val="false"/>
          <w:i w:val="false"/>
          <w:color w:val="000000"/>
          <w:sz w:val="22"/>
        </w:rPr>
        <w:t>Vaccine doses administered less than or equal to four days before the minimum interval or age shall be counted as valid. Doses administered greater than or equal to five days earlier than the minimum interval or age shall not be counted as valid doses and shall be repeated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w:t>
      </w:r>
      <w:r>
        <w:rPr>
          <w:rFonts w:ascii="Times New Roman" w:hAnsi="Times New Roman"/>
          <w:b w:val="false"/>
          <w:i w:val="false"/>
          <w:color w:val="000000"/>
          <w:sz w:val="22"/>
        </w:rPr>
        <w:t> </w:t>
      </w:r>
      <w:r>
        <w:rPr>
          <w:rFonts w:ascii="Times New Roman" w:hAnsi="Times New Roman"/>
          <w:b w:val="false"/>
          <w:i w:val="false"/>
          <w:color w:val="000000"/>
          <w:sz w:val="22"/>
        </w:rPr>
        <w:t>For vaccine administration, the minimum age and intervals recommended by the advisory committee on immunization practices shall be followed.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8041C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641—7.5</w:t>
      </w:r>
      <w:r>
        <w:rPr>
          <w:rFonts w:ascii="Times New Roman" w:hAnsi="Times New Roman"/>
          <w:b/>
          <w:i w:val="false"/>
          <w:color w:val="000000"/>
          <w:sz w:val="22"/>
        </w:rPr>
        <w:t xml:space="preserve">(139A) </w:t>
      </w:r>
      <w:r>
        <w:rPr>
          <w:rFonts w:ascii="Times New Roman" w:hAnsi="Times New Roman"/>
          <w:b/>
          <w:i w:val="false"/>
          <w:color w:val="000000"/>
          <w:sz w:val="22"/>
        </w:rPr>
        <w:t xml:space="preserve">Required education. </w:t>
      </w:r>
      <w:r>
        <w:rPr>
          <w:rFonts w:ascii="Times New Roman" w:hAnsi="Times New Roman"/>
          <w:b w:val="false"/>
          <w:i w:val="false"/>
          <w:color w:val="000000"/>
          <w:sz w:val="22"/>
        </w:rPr>
        <w:t xml:space="preserve">An institution of higher education with an on-campus residence hall or dormitory shall provide vaccination information on meningococcal disease to enrolled students on a student health form pursuant to Iowa Code section </w:t>
      </w:r>
      <w:hyperlink r:id="rId20">
        <w:r>
          <w:rPr>
            <w:rStyle w:val="Hyperlink"/>
            <w:rFonts w:ascii="Times New Roman" w:hAnsi="Times New Roman"/>
            <w:b w:val="false"/>
            <w:i w:val="false"/>
            <w:color w:val="000000"/>
            <w:sz w:val="22"/>
          </w:rPr>
          <w:t>139A.26</w:t>
        </w:r>
      </w:hyperlink>
      <w:r>
        <w:rPr>
          <w:rFonts w:ascii="Times New Roman" w:hAnsi="Times New Roman"/>
          <w:b w:val="false"/>
          <w:i w:val="false"/>
          <w:color w:val="000000"/>
          <w:sz w:val="22"/>
        </w:rPr>
        <w:t>. For purposes of this rule, student health form(s) means a document(s) prepared by an institution of higher education that contains, at a minimum, information on meningococcal disease, vaccination information and any recommendations issued by the national Centers for Disease Control and Prevention regarding meningococcal disease. The student health form(s) shall also include space for the postsecondary student to indicate whether or not the postsecondary student has received vaccination against meningococcal disease, including, at a minimum, the date of vaccination. The student health form(s) shall also include space for the postsecondary student to indicate whether or not the postsecondary student has received information on meningococcal disease and benefits of vaccine. If a traditional student health form is not utilized by the institution of higher education, any document(s) containing the above information is acceptable.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8041C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641—7.6</w:t>
      </w:r>
      <w:r>
        <w:rPr>
          <w:rFonts w:ascii="Times New Roman" w:hAnsi="Times New Roman"/>
          <w:b/>
          <w:i w:val="false"/>
          <w:color w:val="000000"/>
          <w:sz w:val="22"/>
        </w:rPr>
        <w:t xml:space="preserve">(139A) </w:t>
      </w:r>
      <w:r>
        <w:rPr>
          <w:rFonts w:ascii="Times New Roman" w:hAnsi="Times New Roman"/>
          <w:b/>
          <w:i w:val="false"/>
          <w:color w:val="000000"/>
          <w:sz w:val="22"/>
        </w:rPr>
        <w:t xml:space="preserve">Proof of immunization.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w:t>
      </w:r>
      <w:r>
        <w:rPr>
          <w:rFonts w:ascii="Times New Roman" w:hAnsi="Times New Roman"/>
          <w:b w:val="false"/>
          <w:i w:val="false"/>
          <w:color w:val="000000"/>
          <w:sz w:val="22"/>
        </w:rPr>
        <w:t> </w:t>
      </w:r>
      <w:r>
        <w:rPr>
          <w:rFonts w:ascii="Times New Roman" w:hAnsi="Times New Roman"/>
          <w:b w:val="false"/>
          <w:i w:val="false"/>
          <w:color w:val="000000"/>
          <w:sz w:val="22"/>
        </w:rPr>
        <w:t>A valid department certificate of immunization shall be submitted by the applicant or, if the applicant is a minor, by the applicant’s parent or guardian to the admitting official of the school or licensed child care center in which the applicant wishes to enroll. To be valid, the certificate shall be the certificate of immunization issued by the department, a computer-generated copy from the immunization registry, or a certificate of immunization that has been approved in writing by the department. The certificate shall contain, at a minimum, the applicant’s last name, first name, and date of birth, the vaccine(s) administered, the date(s) given, and the signature of a physician, a physician associate, a nurse, or a certified medical assistant. A faxed copy, photocopy, or electronic copy of the valid certificate is acceptable. The judgment of the adequacy of the applicant’s immunization history should be based on records kept by the person signing the certificate of immunization or on that person’s personal knowledge of the applicant’s immunization history, or comparable immunization records from another person or agency, or an international certificate of vaccination, or the applicant’s personal health records. If personal health records are used to make the judgment, the records shall include the vaccine(s) administered and the date given. Persons validating the certificate of immunization are not held responsible for the accuracy of the information used to validate the certificate of immunization if the information is from sources other than their own records or personal knowledge.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w:t>
      </w:r>
      <w:r>
        <w:rPr>
          <w:rFonts w:ascii="Times New Roman" w:hAnsi="Times New Roman"/>
          <w:b w:val="false"/>
          <w:i w:val="false"/>
          <w:color w:val="000000"/>
          <w:sz w:val="22"/>
        </w:rPr>
        <w:t> </w:t>
      </w:r>
      <w:r>
        <w:rPr>
          <w:rFonts w:ascii="Times New Roman" w:hAnsi="Times New Roman"/>
          <w:b w:val="false"/>
          <w:i w:val="false"/>
          <w:color w:val="000000"/>
          <w:sz w:val="22"/>
        </w:rPr>
        <w:t>Persons wishing to enroll who do not have a valid department certificate of immunization available to submit to the admitting official shall be referred to a physician, a physician associate, a nurse, or a certified medical assistant to obtain a valid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8041C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641—7.7</w:t>
      </w:r>
      <w:r>
        <w:rPr>
          <w:rFonts w:ascii="Times New Roman" w:hAnsi="Times New Roman"/>
          <w:b/>
          <w:i w:val="false"/>
          <w:color w:val="000000"/>
          <w:sz w:val="22"/>
        </w:rPr>
        <w:t xml:space="preserve">(139A) </w:t>
      </w:r>
      <w:r>
        <w:rPr>
          <w:rFonts w:ascii="Times New Roman" w:hAnsi="Times New Roman"/>
          <w:b/>
          <w:i w:val="false"/>
          <w:color w:val="000000"/>
          <w:sz w:val="22"/>
        </w:rPr>
        <w:t xml:space="preserve">Provisional enrollment.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may be granted provisional enrollment pursuant to Iowa Code section </w:t>
      </w:r>
      <w:hyperlink r:id="rId21">
        <w:r>
          <w:rPr>
            <w:rStyle w:val="Hyperlink"/>
            <w:rFonts w:ascii="Times New Roman" w:hAnsi="Times New Roman"/>
            <w:b w:val="false"/>
            <w:i w:val="false"/>
            <w:color w:val="000000"/>
            <w:sz w:val="22"/>
          </w:rPr>
          <w:t>139A.8</w:t>
        </w:r>
      </w:hyperlink>
      <w:r>
        <w:rPr>
          <w:rFonts w:ascii="Times New Roman" w:hAnsi="Times New Roman"/>
          <w:b w:val="false"/>
          <w:i w:val="false"/>
          <w:color w:val="000000"/>
          <w:sz w:val="22"/>
        </w:rPr>
        <w:t>. A valid department provisional certificate of immunization shall be submitted by the applicant or, if the applicant is a minor, by the applicant’s parent or guardian to the admitting official of the school or licensed child care center in which the applicant wishes to enroll. To qualify for provisional enrollment, applicants shall have received at least one dose of each of the required vaccines or be a transfer student from another school system. A transfer student is an applicant seeking enrollment from one United States elementary or secondary school into another. To be valid, the certificate shall be the certificate of immunization issued by the department, a computer-generated copy from the immunization registry, or a certificate of immunization that has been approved in writing by the department. The certificate shall contain, at a minimum, the applicant’s last name, first name, and date of birth, the vaccine(s) administered, the date(s) given, the remaining vaccine(s) required, the reason that the applicant qualifies for provisional enrollment, and the signature of a physician, a physician associate, a nurse, or a certified medical assistant. Persons validating the provisional certificate of immunization are not held responsible for the accuracy of the information used to validate the provisional certificate of immunization if the information is from sources other than their own records or personal knowledge. Persons signing the provisional certificate of immunization shall certify that they have informed the applicant or, if the applicant is a minor, the applicant’s parent or guardian of the provisional enrollment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applicant seeking provisional enrollment who does not have a valid department provisional certificate of immunization to submit to the admitting official shall be referred to a physician, a physician associate, a nurse, or a certified medical assistant to obtain a valid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w:t>
      </w:r>
      <w:r>
        <w:rPr>
          <w:rFonts w:ascii="Times New Roman" w:hAnsi="Times New Roman"/>
          <w:b w:val="false"/>
          <w:i w:val="false"/>
          <w:color w:val="000000"/>
          <w:sz w:val="22"/>
        </w:rPr>
        <w:t> </w:t>
      </w:r>
      <w:r>
        <w:rPr>
          <w:rFonts w:ascii="Times New Roman" w:hAnsi="Times New Roman"/>
          <w:b w:val="false"/>
          <w:i w:val="false"/>
          <w:color w:val="000000"/>
          <w:sz w:val="22"/>
        </w:rPr>
        <w:t>The amount of time allowed for provisional enrollment shall be as soon as medically feasible but shall not exceed 60 calendar days. The period of provisional enrollment shall begin on the date the provisional certificate is signed. The person signing the provisional certificate shall assign an expiration date to the certificate and shall indicate the remaining immunizations required to qualify for a certificate of immunization.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w:t>
      </w:r>
      <w:r>
        <w:rPr>
          <w:rFonts w:ascii="Times New Roman" w:hAnsi="Times New Roman"/>
          <w:b w:val="false"/>
          <w:i w:val="false"/>
          <w:color w:val="000000"/>
          <w:sz w:val="22"/>
        </w:rPr>
        <w:t> </w:t>
      </w:r>
      <w:r>
        <w:rPr>
          <w:rFonts w:ascii="Times New Roman" w:hAnsi="Times New Roman"/>
          <w:b w:val="false"/>
          <w:i w:val="false"/>
          <w:color w:val="000000"/>
          <w:sz w:val="22"/>
        </w:rPr>
        <w:t>The applicant or parent or guardian shall ensure that the applicant receives the necessary immunizations during the provisional enrollment period and shall submit a certificate of immunization to the admitting official by the end of the provisional enrollment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w:t>
      </w:r>
      <w:r>
        <w:rPr>
          <w:rFonts w:ascii="Times New Roman" w:hAnsi="Times New Roman"/>
          <w:b w:val="false"/>
          <w:i w:val="false"/>
          <w:color w:val="000000"/>
          <w:sz w:val="22"/>
        </w:rPr>
        <w:t> </w:t>
      </w:r>
      <w:r>
        <w:rPr>
          <w:rFonts w:ascii="Times New Roman" w:hAnsi="Times New Roman"/>
          <w:b w:val="false"/>
          <w:i w:val="false"/>
          <w:color w:val="000000"/>
          <w:sz w:val="22"/>
        </w:rPr>
        <w:t>If at the end of the provisional enrollment period the applicant or parent or guardian has not submitted a certificate of immunization, the admitting official shall immediately exclude the applicant from the benefits, activities, and opportunities of the school or licensed child care center until the applicant or parent or guardian submits a valid certificate of immunization.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w:t>
      </w:r>
      <w:r>
        <w:rPr>
          <w:rFonts w:ascii="Times New Roman" w:hAnsi="Times New Roman"/>
          <w:b w:val="false"/>
          <w:i w:val="false"/>
          <w:color w:val="000000"/>
          <w:sz w:val="22"/>
        </w:rPr>
        <w:t> </w:t>
      </w:r>
      <w:r>
        <w:rPr>
          <w:rFonts w:ascii="Times New Roman" w:hAnsi="Times New Roman"/>
          <w:b w:val="false"/>
          <w:i w:val="false"/>
          <w:color w:val="000000"/>
          <w:sz w:val="22"/>
        </w:rPr>
        <w:t>If at the end of the provisional enrollment period the applicant has not completed the required immunizations due to minimum interval requirements, a new department provisional certificate of immunization shall be submitted to the admitting official. The admitting official must maintain all issued certificates of provisional immunization with the original provisional certificate until the applicant submits a certificate of immunization.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8041C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641—7.8</w:t>
      </w:r>
      <w:r>
        <w:rPr>
          <w:rFonts w:ascii="Times New Roman" w:hAnsi="Times New Roman"/>
          <w:b/>
          <w:i w:val="false"/>
          <w:color w:val="000000"/>
          <w:sz w:val="22"/>
        </w:rPr>
        <w:t xml:space="preserve">(139A) </w:t>
      </w:r>
      <w:r>
        <w:rPr>
          <w:rFonts w:ascii="Times New Roman" w:hAnsi="Times New Roman"/>
          <w:b/>
          <w:i w:val="false"/>
          <w:color w:val="000000"/>
          <w:sz w:val="22"/>
        </w:rPr>
        <w:t xml:space="preserve">Records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w:t>
      </w:r>
      <w:r>
        <w:rPr>
          <w:rFonts w:ascii="Times New Roman" w:hAnsi="Times New Roman"/>
          <w:b w:val="false"/>
          <w:i w:val="false"/>
          <w:color w:val="000000"/>
          <w:sz w:val="22"/>
        </w:rPr>
        <w:t> </w:t>
      </w:r>
      <w:r>
        <w:rPr>
          <w:rFonts w:ascii="Times New Roman" w:hAnsi="Times New Roman"/>
          <w:b w:val="false"/>
          <w:i w:val="false"/>
          <w:color w:val="000000"/>
          <w:sz w:val="22"/>
        </w:rPr>
        <w:t>It shall be the duty of the admitting official of a licensed child care center or elementary or secondary school to ensure that the admitting official has a valid department certificate of immunization, certificate of immunization exemption, or provisional certificate of immunization on file for each student by the first day of attendance.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admitting official shall keep the certificates on file in the school or licensed child care center in which the student is enrolled and assist the student or parent or guardian in the transfer of the certificate to another school or licensed child care center upon the transfer of the student to another school or licensed child care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Unless otherwise requested by the applicant, or parent or guardian, the admitting official shall retain the department certificate of immunization, or certificate of immunization exemption, or provisional certificate of immunization for three years commencing upon the transfer or graduation of the applicant, or the school may choose to provide the permanent immunization record to the student at time of graduation. Included with the immunization record a letter should state that this is an important document that will be needed by the student for college or employment and should be permanently retained.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w:t>
      </w:r>
      <w:r>
        <w:rPr>
          <w:rFonts w:ascii="Times New Roman" w:hAnsi="Times New Roman"/>
          <w:b w:val="false"/>
          <w:i w:val="false"/>
          <w:color w:val="000000"/>
          <w:sz w:val="22"/>
        </w:rPr>
        <w:t> </w:t>
      </w:r>
      <w:r>
        <w:rPr>
          <w:rFonts w:ascii="Times New Roman" w:hAnsi="Times New Roman"/>
          <w:b w:val="false"/>
          <w:i w:val="false"/>
          <w:color w:val="000000"/>
          <w:sz w:val="22"/>
        </w:rPr>
        <w:t xml:space="preserve">It shall be the duty of the local boards of health to audit the department certificates of immunization, certificates of immunization exemption, and provisional certificates of immunization in the schools within their jurisdiction to determine compliance with Iowa Code section </w:t>
      </w:r>
      <w:hyperlink r:id="rId22">
        <w:r>
          <w:rPr>
            <w:rStyle w:val="Hyperlink"/>
            <w:rFonts w:ascii="Times New Roman" w:hAnsi="Times New Roman"/>
            <w:b w:val="false"/>
            <w:i w:val="false"/>
            <w:color w:val="000000"/>
            <w:sz w:val="22"/>
          </w:rPr>
          <w:t>139A.8</w:t>
        </w:r>
      </w:hyperlink>
      <w:r>
        <w:rPr>
          <w:rFonts w:ascii="Times New Roman" w:hAnsi="Times New Roman"/>
          <w:b w:val="false"/>
          <w:i w:val="false"/>
          <w:color w:val="000000"/>
          <w:sz w:val="22"/>
        </w:rPr>
        <w:t>. The local boards of health shall furnish the department within 60 days of the first official day of school a report of the audit. The report shall be submitted for each school within the local board of health’s jurisdiction and shall include the enrollment by grade, and the number of department certificates of immunization, certificates of immunization exemption, and provisional certificates of immunization by grade.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w:t>
      </w:r>
      <w:r>
        <w:rPr>
          <w:rFonts w:ascii="Times New Roman" w:hAnsi="Times New Roman"/>
          <w:b w:val="false"/>
          <w:i w:val="false"/>
          <w:color w:val="000000"/>
          <w:sz w:val="22"/>
        </w:rPr>
        <w:t> </w:t>
      </w:r>
      <w:r>
        <w:rPr>
          <w:rFonts w:ascii="Times New Roman" w:hAnsi="Times New Roman"/>
          <w:b w:val="false"/>
          <w:i w:val="false"/>
          <w:color w:val="000000"/>
          <w:sz w:val="22"/>
        </w:rPr>
        <w:t>The local board of health and the department shall have the right to have access to the department certificates of immunization, certificates of immunization exemption, and the provisional certificates of immunization of children enrolled in elementary and secondary schools and licensed child care centers within the constraints of the privacy rights of parents and students.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admitting official of an institution of higher education shall provide to the department by December 1 each year aggregate data regarding compliance with Iowa Code section </w:t>
      </w:r>
      <w:hyperlink r:id="rId23">
        <w:r>
          <w:rPr>
            <w:rStyle w:val="Hyperlink"/>
            <w:rFonts w:ascii="Times New Roman" w:hAnsi="Times New Roman"/>
            <w:b w:val="false"/>
            <w:i w:val="false"/>
            <w:color w:val="000000"/>
            <w:sz w:val="22"/>
          </w:rPr>
          <w:t>139A.26</w:t>
        </w:r>
      </w:hyperlink>
      <w:r>
        <w:rPr>
          <w:rFonts w:ascii="Times New Roman" w:hAnsi="Times New Roman"/>
          <w:b w:val="false"/>
          <w:i w:val="false"/>
          <w:color w:val="000000"/>
          <w:sz w:val="22"/>
        </w:rPr>
        <w:t>. The data shall be forwarded to the department within 30 days. The data shall include, but not be limited to, the total number of incoming postsecondary freshmen students living in a residence hall or dormitory who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Enrolled in the institution of higher education;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Been provided information on meningococcal disease;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Been immunized with meningococcal vaccine.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8041C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641—7.9</w:t>
      </w:r>
      <w:r>
        <w:rPr>
          <w:rFonts w:ascii="Times New Roman" w:hAnsi="Times New Roman"/>
          <w:b/>
          <w:i w:val="false"/>
          <w:color w:val="000000"/>
          <w:sz w:val="22"/>
        </w:rPr>
        <w:t xml:space="preserve">(139A) </w:t>
      </w:r>
      <w:r>
        <w:rPr>
          <w:rFonts w:ascii="Times New Roman" w:hAnsi="Times New Roman"/>
          <w:b/>
          <w:i w:val="false"/>
          <w:color w:val="000000"/>
          <w:sz w:val="22"/>
        </w:rPr>
        <w:t xml:space="preserve">Compliance. </w:t>
      </w:r>
      <w:r>
        <w:rPr>
          <w:rFonts w:ascii="Times New Roman" w:hAnsi="Times New Roman"/>
          <w:b w:val="false"/>
          <w:i w:val="false"/>
          <w:color w:val="000000"/>
          <w:sz w:val="22"/>
        </w:rPr>
        <w:t xml:space="preserve">Applicants not presenting proper evidence of immunization or exemption are not entitled to enrollment in a licensed child care center or elementary or secondary school under the provisions of Iowa Code section </w:t>
      </w:r>
      <w:hyperlink r:id="rId24">
        <w:r>
          <w:rPr>
            <w:rStyle w:val="Hyperlink"/>
            <w:rFonts w:ascii="Times New Roman" w:hAnsi="Times New Roman"/>
            <w:b w:val="false"/>
            <w:i w:val="false"/>
            <w:color w:val="000000"/>
            <w:sz w:val="22"/>
          </w:rPr>
          <w:t>139A.8</w:t>
        </w:r>
      </w:hyperlink>
      <w:r>
        <w:rPr>
          <w:rFonts w:ascii="Times New Roman" w:hAnsi="Times New Roman"/>
          <w:b w:val="false"/>
          <w:i w:val="false"/>
          <w:color w:val="000000"/>
          <w:sz w:val="22"/>
        </w:rPr>
        <w:t>. It shall be the duty of the admitting official to deny enrollment to any applicant who does not submit proper evidence of immunization and to exclude a provisionally enrolled applicant in accordance with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8041C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641—7.10</w:t>
      </w:r>
      <w:r>
        <w:rPr>
          <w:rFonts w:ascii="Times New Roman" w:hAnsi="Times New Roman"/>
          <w:b/>
          <w:i w:val="false"/>
          <w:color w:val="000000"/>
          <w:sz w:val="22"/>
        </w:rPr>
        <w:t xml:space="preserve">(22) </w:t>
      </w:r>
      <w:r>
        <w:rPr>
          <w:rFonts w:ascii="Times New Roman" w:hAnsi="Times New Roman"/>
          <w:b/>
          <w:i w:val="false"/>
          <w:color w:val="000000"/>
          <w:sz w:val="22"/>
        </w:rPr>
        <w:t xml:space="preserve">Statewide registry.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7.10(1)</w:t>
      </w:r>
      <w:r>
        <w:rPr>
          <w:rFonts w:ascii="Times New Roman" w:hAnsi="Times New Roman"/>
          <w:b w:val="false"/>
          <w:i w:val="false"/>
          <w:color w:val="000000"/>
          <w:sz w:val="22"/>
        </w:rPr>
        <w:t> </w:t>
      </w:r>
      <w:r>
        <w:rPr>
          <w:rFonts w:ascii="Times New Roman" w:hAnsi="Times New Roman"/>
          <w:b w:val="false"/>
          <w:i/>
          <w:color w:val="000000"/>
          <w:sz w:val="22"/>
        </w:rPr>
        <w:t xml:space="preserve">Statewide registry. </w:t>
      </w:r>
      <w:r>
        <w:rPr>
          <w:rFonts w:ascii="Times New Roman" w:hAnsi="Times New Roman"/>
          <w:b w:val="false"/>
          <w:i w:val="false"/>
          <w:color w:val="000000"/>
          <w:sz w:val="22"/>
        </w:rPr>
        <w:t>The department shall maintain a statewide immunization and health screening registry.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7.10(2)</w:t>
      </w:r>
      <w:r>
        <w:rPr>
          <w:rFonts w:ascii="Times New Roman" w:hAnsi="Times New Roman"/>
          <w:b w:val="false"/>
          <w:i w:val="false"/>
          <w:color w:val="000000"/>
          <w:sz w:val="22"/>
        </w:rPr>
        <w:t> </w:t>
      </w:r>
      <w:r>
        <w:rPr>
          <w:rFonts w:ascii="Times New Roman" w:hAnsi="Times New Roman"/>
          <w:b w:val="false"/>
          <w:i/>
          <w:color w:val="000000"/>
          <w:sz w:val="22"/>
        </w:rPr>
        <w:t xml:space="preserve">Purpose and permitted uses of registry.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registry shall contain immunization and health screening information, including identifying and demographic data, to allow enrolled users to maintain and access a database of immunization and health screening histories for purposes of ensuring patients are fully immunized and screened.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registry may be used to track inventory or utilization of pharmaceutical agents identified by the department to prepare for or respond to an emergency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Enrolled users shall not use information obtained from the registry to market services to patients or nonpatients, to assist in bill collection services, or to locate or identify patients or nonpatients for any purpose other than those expressly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registry shall contain health screening data, including screening results and follow-up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7.10(3)</w:t>
      </w:r>
      <w:r>
        <w:rPr>
          <w:rFonts w:ascii="Times New Roman" w:hAnsi="Times New Roman"/>
          <w:b w:val="false"/>
          <w:i w:val="false"/>
          <w:color w:val="000000"/>
          <w:sz w:val="22"/>
        </w:rPr>
        <w:t> </w:t>
      </w:r>
      <w:r>
        <w:rPr>
          <w:rFonts w:ascii="Times New Roman" w:hAnsi="Times New Roman"/>
          <w:b w:val="false"/>
          <w:i/>
          <w:color w:val="000000"/>
          <w:sz w:val="22"/>
        </w:rPr>
        <w:t xml:space="preserve">Release of information to the registry. </w:t>
      </w:r>
      <w:r>
        <w:rPr>
          <w:rFonts w:ascii="Times New Roman" w:hAnsi="Times New Roman"/>
          <w:b w:val="false"/>
          <w:i w:val="false"/>
          <w:color w:val="000000"/>
          <w:sz w:val="22"/>
        </w:rPr>
        <w:t>Enrolled users shall provide immunization and health screening information, including identifying and demographic data, to the registry. Information provided may include,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Sex of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Ethnicity;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Birth state and birth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Parents’ names;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Mother’s maiden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Type of vaccination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Dose or series number of vaccine;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Date vaccination was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Lot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Date of health screening;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Health screening results;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Source of health screening;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 xml:space="preserve">Health screening follow-up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Patient comments;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Provider name, license, and business address;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Patient history, including previously unreported doses.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7.10(4)</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of registry information. </w:t>
      </w:r>
      <w:r>
        <w:rPr>
          <w:rFonts w:ascii="Times New Roman" w:hAnsi="Times New Roman"/>
          <w:b w:val="false"/>
          <w:i w:val="false"/>
          <w:color w:val="000000"/>
          <w:sz w:val="22"/>
        </w:rPr>
        <w:t>Immunization and health screening information, including identifying and demographic data maintained in the registry, is confidential and may not be disclosed except under the following limited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release information from the registry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or the parent or legal guardian of the person immunized or screened.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Enrolled users of the registry who have completed a department enrollment form that specifies the conditions under which the registry can be accessed.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Persons or entities requesting immunization or health screening data in an aggregate form that does not identify an individual either directly or indirectly.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Agencies that complete an agreement with the department that specifies conditions for access to registry data and how that data will be used. Agencies shall not use information obtained from the registry to market services to patients or nonpatients, to assist in bill collection services, or to locate or identify patients or nonpatients for any purposes other than those expressly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representative of a state or federal agency, or entity bound by that state or federal agency, to the extent that the information is necessary to perform a legally authorized function of that agency or the department. The state or federal agency is subject to confidentiality regulations that are the same as or more stringent than those in the state of Iowa. State or federal agencies shall not use information obtained from the registry to market services to patients or nonpatients, to assist in bill collection services, or to locate or identify patients or nonpatients for any purposes other than those expressly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admitting official of a licensed child care center, elementary school, secondary school, or postsecondary school; or medical or health care providers providing continuity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Users from other states or jurisdictions who have signed and completed enrollment in the state’s or jurisdiction’s immunization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Users shall not release data obtained from the registry except to the person or the parent or legal guardian of the person immunized or screened, admitting officials of licensed child care centers and schools, medical or health care providers providing continuity of care, and other enrolled users of the registry.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7.10(5)</w:t>
      </w:r>
      <w:r>
        <w:rPr>
          <w:rFonts w:ascii="Times New Roman" w:hAnsi="Times New Roman"/>
          <w:b w:val="false"/>
          <w:i w:val="false"/>
          <w:color w:val="000000"/>
          <w:sz w:val="22"/>
        </w:rPr>
        <w:t> </w:t>
      </w:r>
      <w:r>
        <w:rPr>
          <w:rFonts w:ascii="Times New Roman" w:hAnsi="Times New Roman"/>
          <w:b w:val="false"/>
          <w:i/>
          <w:color w:val="000000"/>
          <w:sz w:val="22"/>
        </w:rPr>
        <w:t xml:space="preserve">Suspend or terminate access. </w:t>
      </w:r>
      <w:r>
        <w:rPr>
          <w:rFonts w:ascii="Times New Roman" w:hAnsi="Times New Roman"/>
          <w:b w:val="false"/>
          <w:i w:val="false"/>
          <w:color w:val="000000"/>
          <w:sz w:val="22"/>
        </w:rPr>
        <w:t>The department will approve, suspend, terminate, and reinstate user access in accordance with this chapter and department policy.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8041C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i w:val="false"/>
          <w:color w:val="000000"/>
          <w:sz w:val="16"/>
        </w:rPr>
        <w:t>ARC 9617C</w:t>
      </w:r>
      <w:r>
        <w:rPr>
          <w:rFonts w:ascii="Times New Roman" w:hAnsi="Times New Roman"/>
          <w:b w:val="false"/>
          <w:i w:val="false"/>
          <w:color w:val="000000"/>
          <w:sz w:val="16"/>
        </w:rPr>
        <w:t>, IAB 10/15/25, effective 12/1/25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641—7.11</w:t>
      </w:r>
      <w:r>
        <w:rPr>
          <w:rFonts w:ascii="Times New Roman" w:hAnsi="Times New Roman"/>
          <w:b/>
          <w:i w:val="false"/>
          <w:color w:val="000000"/>
          <w:sz w:val="22"/>
        </w:rPr>
        <w:t xml:space="preserve">(22) </w:t>
      </w:r>
      <w:r>
        <w:rPr>
          <w:rFonts w:ascii="Times New Roman" w:hAnsi="Times New Roman"/>
          <w:b/>
          <w:i w:val="false"/>
          <w:color w:val="000000"/>
          <w:sz w:val="22"/>
        </w:rPr>
        <w:t xml:space="preserve">Release of immunization and health screening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w:t>
      </w:r>
      <w:r>
        <w:rPr>
          <w:rFonts w:ascii="Times New Roman" w:hAnsi="Times New Roman"/>
          <w:b w:val="false"/>
          <w:i w:val="false"/>
          <w:color w:val="000000"/>
          <w:sz w:val="22"/>
        </w:rPr>
        <w:t> </w:t>
      </w:r>
      <w:r>
        <w:rPr>
          <w:rFonts w:ascii="Times New Roman" w:hAnsi="Times New Roman"/>
          <w:b w:val="false"/>
          <w:i/>
          <w:color w:val="000000"/>
          <w:sz w:val="22"/>
        </w:rPr>
        <w:t xml:space="preserve">Between a physician, physician associate, nurse, certified medical assistant, pharmacist, or screening provider and the elementary, secondary, or postsecondary school or licensed child care center that the student attends. </w:t>
      </w:r>
      <w:r>
        <w:rPr>
          <w:rFonts w:ascii="Times New Roman" w:hAnsi="Times New Roman"/>
          <w:b w:val="false"/>
          <w:i w:val="false"/>
          <w:color w:val="000000"/>
          <w:sz w:val="22"/>
        </w:rPr>
        <w:t>A physician, a physician associate, a nurse, a certified medical assistant, a pharmacist, or a screening provider shall disclose a student’s or patient’s immunization or health screening information, including the name, date of birth, and demographic information; vaccine(s) administered and the month, day and year of administration; health screening results; and clinic source and location, to an elementary, secondary, or postsecondary school or a licensed child care center upon written or verbal request from the elementary, secondary, or postsecondary school or licensed child care center. Written or verbal permission from a student or parent is not required to release this information to an elementary, secondary, or postsecondary school or licensed child care center that the student attends.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w:t>
      </w:r>
      <w:r>
        <w:rPr>
          <w:rFonts w:ascii="Times New Roman" w:hAnsi="Times New Roman"/>
          <w:b w:val="false"/>
          <w:i w:val="false"/>
          <w:color w:val="000000"/>
          <w:sz w:val="22"/>
        </w:rPr>
        <w:t> </w:t>
      </w:r>
      <w:r>
        <w:rPr>
          <w:rFonts w:ascii="Times New Roman" w:hAnsi="Times New Roman"/>
          <w:b w:val="false"/>
          <w:i/>
          <w:color w:val="000000"/>
          <w:sz w:val="22"/>
        </w:rPr>
        <w:t xml:space="preserve">Among physicians, physician associates, nurses, certified medical assistants, pharmacists or screening providers. </w:t>
      </w:r>
      <w:r>
        <w:rPr>
          <w:rFonts w:ascii="Times New Roman" w:hAnsi="Times New Roman"/>
          <w:b w:val="false"/>
          <w:i w:val="false"/>
          <w:color w:val="000000"/>
          <w:sz w:val="22"/>
        </w:rPr>
        <w:t>Immunization or health screening information, including the student’s or patient’s name, date of birth, and demographic information; vaccine(s) administered and the month, day and year of administration; health screening results; and clinic source and location, shall be provided by a physician, physician associate, nurse, certified medical assistant, pharmacist, or screening provider to another health care provider without written or verbal permission from the student, parent, guardian or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w:t>
      </w:r>
      <w:r>
        <w:rPr>
          <w:rFonts w:ascii="Times New Roman" w:hAnsi="Times New Roman"/>
          <w:b w:val="false"/>
          <w:i w:val="false"/>
          <w:color w:val="000000"/>
          <w:sz w:val="22"/>
        </w:rPr>
        <w:t> </w:t>
      </w:r>
      <w:r>
        <w:rPr>
          <w:rFonts w:ascii="Times New Roman" w:hAnsi="Times New Roman"/>
          <w:b w:val="false"/>
          <w:i/>
          <w:color w:val="000000"/>
          <w:sz w:val="22"/>
        </w:rPr>
        <w:t xml:space="preserve">Among an elementary school, secondary school, postsecondary school, and licensed child care center that the student attends. </w:t>
      </w:r>
      <w:r>
        <w:rPr>
          <w:rFonts w:ascii="Times New Roman" w:hAnsi="Times New Roman"/>
          <w:b w:val="false"/>
          <w:i w:val="false"/>
          <w:color w:val="000000"/>
          <w:sz w:val="22"/>
        </w:rPr>
        <w:t>An elementary school, secondary school, postsecondary school, and licensed child care center shall disclose a student’s immunization or health screening information, including the student’s name, date of birth, and demographic information; vaccine(s) administered and the month, day and year of administration; health screening results; and clinic source and location, to another elementary school, secondary school, postsecondary school, and licensed child care center that the student attends. Written or verbal permission from a student, or if the student is a minor, the student’s parent or guardian, is not required to release this information to an elementary school, secondary school, postsecondary school, and licensed child care center that the student attends.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7.11(4)</w:t>
      </w:r>
      <w:r>
        <w:rPr>
          <w:rFonts w:ascii="Times New Roman" w:hAnsi="Times New Roman"/>
          <w:b w:val="false"/>
          <w:i w:val="false"/>
          <w:color w:val="000000"/>
          <w:sz w:val="22"/>
        </w:rPr>
        <w:t> </w:t>
      </w:r>
      <w:r>
        <w:rPr>
          <w:rFonts w:ascii="Times New Roman" w:hAnsi="Times New Roman"/>
          <w:b w:val="false"/>
          <w:i/>
          <w:color w:val="000000"/>
          <w:sz w:val="22"/>
        </w:rPr>
        <w:t xml:space="preserve">Among the department and a physician, physician associate, nurse, certified medical assistant, pharmacist, screening provider, elementary school, secondary school, postsecondary school, and licensed child care center. </w:t>
      </w:r>
      <w:r>
        <w:rPr>
          <w:rFonts w:ascii="Times New Roman" w:hAnsi="Times New Roman"/>
          <w:b w:val="false"/>
          <w:i w:val="false"/>
          <w:color w:val="000000"/>
          <w:sz w:val="22"/>
        </w:rPr>
        <w:t>A student’s or patient’s immunization or health screening information, including name, date of birth, grade, and demographic information; vaccine(s) administered and the month, day and year of administration; and health screening results, clinic source, and location, all in a format specified by the department, shall be disclosed upon written or verbal request among the department, physicians, physician associates, nurses, certified medical assistants, pharmacists, screening providers, elementary schools, secondary schools, postsecondary schools, and licensed child care centers. Written or verbal permission from a student, patient, parent, or guardian is not required to release this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7.11(5)</w:t>
      </w:r>
      <w:r>
        <w:rPr>
          <w:rFonts w:ascii="Times New Roman" w:hAnsi="Times New Roman"/>
          <w:b w:val="false"/>
          <w:i w:val="false"/>
          <w:color w:val="000000"/>
          <w:sz w:val="22"/>
        </w:rPr>
        <w:t> </w:t>
      </w:r>
      <w:r>
        <w:rPr>
          <w:rFonts w:ascii="Times New Roman" w:hAnsi="Times New Roman"/>
          <w:b w:val="false"/>
          <w:i/>
          <w:color w:val="000000"/>
          <w:sz w:val="22"/>
        </w:rPr>
        <w:t xml:space="preserve">Among the department and physicians, physician associates, nurses, resettlement agencies, federal, state, and local government agencies, and certified medical assistants conducting refugee health screenings. </w:t>
      </w:r>
      <w:r>
        <w:rPr>
          <w:rFonts w:ascii="Times New Roman" w:hAnsi="Times New Roman"/>
          <w:b w:val="false"/>
          <w:i w:val="false"/>
          <w:color w:val="000000"/>
          <w:sz w:val="22"/>
        </w:rPr>
        <w:t>Refugee health screenings shall be disclosed only as indicated in this rule. Immunization or health screening information, including the patient’s name, date of birth, and demographic information; the vaccine(s) administered and the month, day, and year of administration; health screening results; and clinic source and location, shall be disclosed upon written or verbal request among the department, physicians, physician associates, nurses, certified medical assistants, resettlement agencies, federal, state, and local government agencies, or screening providers to another health care provider or the department. Written or verbal permission from the parent, guardian or patient is not required to release this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8041C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5">
        <w:r>
          <w:rPr>
            <w:rStyle w:val="Hyperlink"/>
            <w:rFonts w:ascii="Times New Roman" w:hAnsi="Times New Roman"/>
            <w:b w:val="false"/>
            <w:i w:val="false"/>
            <w:color w:val="000000"/>
            <w:sz w:val="22"/>
          </w:rPr>
          <w:t>139A.8</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139A.26</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11/10/77, Notice 10/5/77—published 11/30/77, effective 1/4/78]</w:t>
      </w:r>
    </w:p>
    <w:p>
      <w:pPr>
        <w:spacing w:before="0" w:after="0"/>
        <w:ind w:left="120"/>
        <w:jc w:val="center"/>
      </w:pPr>
      <w:r>
        <w:rPr>
          <w:rFonts w:ascii="Times New Roman" w:hAnsi="Times New Roman"/>
          <w:b w:val="false"/>
          <w:i w:val="false"/>
          <w:color w:val="000000"/>
          <w:sz w:val="21"/>
        </w:rPr>
        <w:t>[Filed emergency 12/23/77—published 1/11/78, effective 12/23/77]</w:t>
      </w:r>
    </w:p>
    <w:p>
      <w:pPr>
        <w:spacing w:before="0" w:after="0"/>
        <w:ind w:left="120"/>
        <w:jc w:val="center"/>
      </w:pPr>
      <w:r>
        <w:rPr>
          <w:rFonts w:ascii="Times New Roman" w:hAnsi="Times New Roman"/>
          <w:b w:val="false"/>
          <w:i w:val="false"/>
          <w:color w:val="000000"/>
          <w:sz w:val="21"/>
        </w:rPr>
        <w:t>[Filed emergency 9/18/78 after Notice 5/31/78—published 10/4/78, effective 9/18/78]</w:t>
      </w:r>
    </w:p>
    <w:p>
      <w:pPr>
        <w:spacing w:before="0" w:after="0"/>
        <w:ind w:left="120"/>
        <w:jc w:val="center"/>
      </w:pPr>
      <w:r>
        <w:rPr>
          <w:rFonts w:ascii="Times New Roman" w:hAnsi="Times New Roman"/>
          <w:b w:val="false"/>
          <w:i w:val="false"/>
          <w:color w:val="000000"/>
          <w:sz w:val="21"/>
        </w:rPr>
        <w:t>[Filed emergency 8/7/80 after Notice 6/11/80—published 9/3/80, effective 8/8/80]</w:t>
      </w:r>
    </w:p>
    <w:p>
      <w:pPr>
        <w:spacing w:before="0" w:after="0"/>
        <w:ind w:left="120"/>
        <w:jc w:val="center"/>
      </w:pPr>
      <w:r>
        <w:rPr>
          <w:rFonts w:ascii="Times New Roman" w:hAnsi="Times New Roman"/>
          <w:b w:val="false"/>
          <w:i w:val="false"/>
          <w:color w:val="000000"/>
          <w:sz w:val="21"/>
        </w:rPr>
        <w:t>[Filed emergency 1/15/81—published 2/4/81, effective 1/15/81]</w:t>
      </w:r>
    </w:p>
    <w:p>
      <w:pPr>
        <w:spacing w:before="0" w:after="0"/>
        <w:ind w:left="120"/>
        <w:jc w:val="center"/>
      </w:pPr>
      <w:r>
        <w:rPr>
          <w:rFonts w:ascii="Times New Roman" w:hAnsi="Times New Roman"/>
          <w:b w:val="false"/>
          <w:i w:val="false"/>
          <w:color w:val="000000"/>
          <w:sz w:val="21"/>
        </w:rPr>
        <w:t>[Filed 9/23/83, Notice 7/6/83—published 10/12/83, effective 11/16/83]</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1/11/89, Notice 10/19/88—published 2/8/89, effective 3/17/89]</w:t>
      </w:r>
    </w:p>
    <w:p>
      <w:pPr>
        <w:spacing w:before="0" w:after="0"/>
        <w:ind w:left="120"/>
        <w:jc w:val="center"/>
      </w:pPr>
      <w:r>
        <w:rPr>
          <w:rFonts w:ascii="Times New Roman" w:hAnsi="Times New Roman"/>
          <w:b w:val="false"/>
          <w:i w:val="false"/>
          <w:color w:val="000000"/>
          <w:sz w:val="21"/>
        </w:rPr>
        <w:t>[Filed 5/10/91, Notice 4/3/91—published 5/29/91, effective 7/3/91]</w:t>
      </w:r>
    </w:p>
    <w:p>
      <w:pPr>
        <w:spacing w:before="0" w:after="0"/>
        <w:ind w:left="120"/>
        <w:jc w:val="center"/>
      </w:pPr>
      <w:r>
        <w:rPr>
          <w:rFonts w:ascii="Times New Roman" w:hAnsi="Times New Roman"/>
          <w:b w:val="false"/>
          <w:i w:val="false"/>
          <w:color w:val="000000"/>
          <w:sz w:val="21"/>
        </w:rPr>
        <w:t>[Filed 5/16/94, Notice 3/2/94—published 6/8/94, effective 7/13/94]</w:t>
      </w:r>
    </w:p>
    <w:p>
      <w:pPr>
        <w:spacing w:before="0" w:after="0"/>
        <w:ind w:left="120"/>
        <w:jc w:val="center"/>
      </w:pPr>
      <w:r>
        <w:rPr>
          <w:rFonts w:ascii="Times New Roman" w:hAnsi="Times New Roman"/>
          <w:b w:val="false"/>
          <w:i w:val="false"/>
          <w:color w:val="000000"/>
          <w:sz w:val="21"/>
        </w:rPr>
        <w:t>[Filed 5/13/96, Notice 3/27/96—published 6/5/96, effective 7/10/96]</w:t>
      </w:r>
    </w:p>
    <w:p>
      <w:pPr>
        <w:spacing w:before="0" w:after="0"/>
        <w:ind w:left="120"/>
        <w:jc w:val="center"/>
      </w:pPr>
      <w:r>
        <w:rPr>
          <w:rFonts w:ascii="Times New Roman" w:hAnsi="Times New Roman"/>
          <w:b w:val="false"/>
          <w:i w:val="false"/>
          <w:color w:val="000000"/>
          <w:sz w:val="21"/>
        </w:rPr>
        <w:t>[Filed 11/10/98, Notice 9/23/98—published 12/2/98, effective 1/6/99]</w:t>
      </w:r>
    </w:p>
    <w:p>
      <w:pPr>
        <w:spacing w:before="0" w:after="0"/>
        <w:ind w:left="120"/>
        <w:jc w:val="center"/>
      </w:pPr>
      <w:r>
        <w:rPr>
          <w:rFonts w:ascii="Times New Roman" w:hAnsi="Times New Roman"/>
          <w:b w:val="false"/>
          <w:i w:val="false"/>
          <w:color w:val="000000"/>
          <w:sz w:val="21"/>
        </w:rPr>
        <w:t>[Filed emergency 7/9/03—published 8/6/03, effective 7/9/03]</w:t>
      </w:r>
    </w:p>
    <w:p>
      <w:pPr>
        <w:spacing w:before="0" w:after="0"/>
        <w:ind w:left="120"/>
        <w:jc w:val="center"/>
      </w:pPr>
      <w:r>
        <w:rPr>
          <w:rFonts w:ascii="Times New Roman" w:hAnsi="Times New Roman"/>
          <w:b w:val="false"/>
          <w:i w:val="false"/>
          <w:color w:val="000000"/>
          <w:sz w:val="21"/>
        </w:rPr>
        <w:t>[Filed 9/12/03, Notice 8/6/03—published 10/1/03, effective 11/5/03]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7/15/05, Notice 5/25/05—published 8/3/05, effective 9/7/05]</w:t>
      </w:r>
    </w:p>
    <w:p>
      <w:pPr>
        <w:spacing w:before="0" w:after="0"/>
        <w:ind w:left="120"/>
        <w:jc w:val="center"/>
      </w:pPr>
      <w:r>
        <w:rPr>
          <w:rFonts w:ascii="Times New Roman" w:hAnsi="Times New Roman"/>
          <w:b w:val="false"/>
          <w:i w:val="false"/>
          <w:color w:val="000000"/>
          <w:sz w:val="21"/>
        </w:rPr>
        <w:t>[Filed emergency 1/11/06—published 2/1/06, effective 1/11/06]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1/7/09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8377B, IAB 12/16/09, effective 11/18/09]</w:t>
      </w:r>
    </w:p>
    <w:p>
      <w:pPr>
        <w:spacing w:before="0" w:after="0"/>
        <w:ind w:left="120"/>
        <w:jc w:val="center"/>
      </w:pPr>
      <w:r>
        <w:rPr>
          <w:rFonts w:ascii="Times New Roman" w:hAnsi="Times New Roman"/>
          <w:b w:val="false"/>
          <w:i w:val="false"/>
          <w:color w:val="000000"/>
          <w:sz w:val="21"/>
        </w:rPr>
        <w:t>[Filed ARC 8658B</w:t>
      </w:r>
      <w:r>
        <w:rPr>
          <w:rFonts w:ascii="Times New Roman" w:hAnsi="Times New Roman"/>
          <w:b w:val="false"/>
          <w:i w:val="false"/>
          <w:color w:val="000000"/>
          <w:sz w:val="21"/>
        </w:rPr>
        <w:t xml:space="preserve"> (Notice ARC 8399B, IAB 12/16/09; </w:t>
      </w:r>
      <w:r>
        <w:rPr>
          <w:rFonts w:ascii="Times New Roman" w:hAnsi="Times New Roman"/>
          <w:b w:val="false"/>
          <w:i w:val="false"/>
          <w:color w:val="000000"/>
          <w:sz w:val="21"/>
        </w:rPr>
        <w:t>Amended Notice ARC 8491B, IAB 1/27/10)</w:t>
      </w:r>
      <w:r>
        <w:rPr>
          <w:rFonts w:ascii="Times New Roman" w:hAnsi="Times New Roman"/>
          <w:b w:val="false"/>
          <w:i w:val="false"/>
          <w:color w:val="000000"/>
          <w:sz w:val="21"/>
        </w:rPr>
        <w:t>, IAB 4/7/10, effective 5/12/10]</w:t>
      </w:r>
    </w:p>
    <w:p>
      <w:pPr>
        <w:spacing w:before="0" w:after="0"/>
        <w:ind w:left="120"/>
        <w:jc w:val="center"/>
      </w:pPr>
      <w:r>
        <w:rPr>
          <w:rFonts w:ascii="Times New Roman" w:hAnsi="Times New Roman"/>
          <w:b w:val="false"/>
          <w:i w:val="false"/>
          <w:color w:val="000000"/>
          <w:sz w:val="21"/>
        </w:rPr>
        <w:t>[Filed ARC 0481C</w:t>
      </w:r>
      <w:r>
        <w:rPr>
          <w:rFonts w:ascii="Times New Roman" w:hAnsi="Times New Roman"/>
          <w:b w:val="false"/>
          <w:i w:val="false"/>
          <w:color w:val="000000"/>
          <w:sz w:val="21"/>
        </w:rPr>
        <w:t xml:space="preserve"> (Notice ARC 0370C, IAB 10/3/12)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Emergency ARC 0586C, IAB 2/6/13, effective 1/16/13]</w:t>
      </w:r>
    </w:p>
    <w:p>
      <w:pPr>
        <w:spacing w:before="0" w:after="0"/>
        <w:ind w:left="120"/>
        <w:jc w:val="center"/>
      </w:pPr>
      <w:r>
        <w:rPr>
          <w:rFonts w:ascii="Times New Roman" w:hAnsi="Times New Roman"/>
          <w:b w:val="false"/>
          <w:i w:val="false"/>
          <w:color w:val="000000"/>
          <w:sz w:val="21"/>
        </w:rPr>
        <w:t>[Filed ARC 1477C</w:t>
      </w:r>
      <w:r>
        <w:rPr>
          <w:rFonts w:ascii="Times New Roman" w:hAnsi="Times New Roman"/>
          <w:b w:val="false"/>
          <w:i w:val="false"/>
          <w:color w:val="000000"/>
          <w:sz w:val="21"/>
        </w:rPr>
        <w:t xml:space="preserve"> (Notice ARC 1229C, IAB 12/11/13)</w:t>
      </w:r>
      <w:r>
        <w:rPr>
          <w:rFonts w:ascii="Times New Roman" w:hAnsi="Times New Roman"/>
          <w:b w:val="false"/>
          <w:i w:val="false"/>
          <w:color w:val="000000"/>
          <w:sz w:val="21"/>
        </w:rPr>
        <w:t>, IAB 6/11/14, effective 7/16/14]</w:t>
      </w:r>
    </w:p>
    <w:p>
      <w:pPr>
        <w:spacing w:before="0" w:after="0"/>
        <w:ind w:left="120"/>
        <w:jc w:val="center"/>
      </w:pPr>
      <w:r>
        <w:rPr>
          <w:rFonts w:ascii="Times New Roman" w:hAnsi="Times New Roman"/>
          <w:b w:val="false"/>
          <w:i w:val="false"/>
          <w:color w:val="000000"/>
          <w:sz w:val="21"/>
        </w:rPr>
        <w:t>[Filed ARC 2390C</w:t>
      </w:r>
      <w:r>
        <w:rPr>
          <w:rFonts w:ascii="Times New Roman" w:hAnsi="Times New Roman"/>
          <w:b w:val="false"/>
          <w:i w:val="false"/>
          <w:color w:val="000000"/>
          <w:sz w:val="21"/>
        </w:rPr>
        <w:t xml:space="preserve"> (Notice ARC 2306C, IAB 12/9/15)</w:t>
      </w:r>
      <w:r>
        <w:rPr>
          <w:rFonts w:ascii="Times New Roman" w:hAnsi="Times New Roman"/>
          <w:b w:val="false"/>
          <w:i w:val="false"/>
          <w:color w:val="000000"/>
          <w:sz w:val="21"/>
        </w:rPr>
        <w:t>, IAB 2/3/16, effective 3/9/16]</w:t>
      </w:r>
    </w:p>
    <w:p>
      <w:pPr>
        <w:spacing w:before="0" w:after="0"/>
        <w:ind w:left="120"/>
        <w:jc w:val="center"/>
      </w:pPr>
      <w:r>
        <w:rPr>
          <w:rFonts w:ascii="Times New Roman" w:hAnsi="Times New Roman"/>
          <w:b w:val="false"/>
          <w:i w:val="false"/>
          <w:color w:val="000000"/>
          <w:sz w:val="21"/>
        </w:rPr>
        <w:t>[Filed ARC 2836C</w:t>
      </w:r>
      <w:r>
        <w:rPr>
          <w:rFonts w:ascii="Times New Roman" w:hAnsi="Times New Roman"/>
          <w:b w:val="false"/>
          <w:i w:val="false"/>
          <w:color w:val="000000"/>
          <w:sz w:val="21"/>
        </w:rPr>
        <w:t xml:space="preserve"> (Notice ARC 2732C, IAB 9/28/16)</w:t>
      </w:r>
      <w:r>
        <w:rPr>
          <w:rFonts w:ascii="Times New Roman" w:hAnsi="Times New Roman"/>
          <w:b w:val="false"/>
          <w:i w:val="false"/>
          <w:color w:val="000000"/>
          <w:sz w:val="21"/>
        </w:rPr>
        <w:t>, IAB 12/7/16, effective 1/11/17]</w:t>
      </w:r>
    </w:p>
    <w:p>
      <w:pPr>
        <w:spacing w:before="0" w:after="0"/>
        <w:ind w:left="120"/>
        <w:jc w:val="center"/>
      </w:pPr>
      <w:r>
        <w:rPr>
          <w:rFonts w:ascii="Times New Roman" w:hAnsi="Times New Roman"/>
          <w:b w:val="false"/>
          <w:i w:val="false"/>
          <w:color w:val="000000"/>
          <w:sz w:val="21"/>
        </w:rPr>
        <w:t>[Filed ARC 8041C</w:t>
      </w:r>
      <w:r>
        <w:rPr>
          <w:rFonts w:ascii="Times New Roman" w:hAnsi="Times New Roman"/>
          <w:b w:val="false"/>
          <w:i w:val="false"/>
          <w:color w:val="000000"/>
          <w:sz w:val="21"/>
        </w:rPr>
        <w:t xml:space="preserve"> (Notice ARC 7372C, IAB 1/24/24)</w:t>
      </w:r>
      <w:r>
        <w:rPr>
          <w:rFonts w:ascii="Times New Roman" w:hAnsi="Times New Roman"/>
          <w:b w:val="false"/>
          <w:i w:val="false"/>
          <w:color w:val="000000"/>
          <w:sz w:val="21"/>
        </w:rPr>
        <w:t>, IAB 5/29/24, effective 7/3/24]</w:t>
      </w:r>
    </w:p>
    <w:p>
      <w:pPr>
        <w:spacing w:before="0" w:after="0"/>
        <w:ind w:left="120"/>
        <w:jc w:val="center"/>
      </w:pPr>
      <w:r>
        <w:rPr>
          <w:rFonts w:ascii="Times New Roman" w:hAnsi="Times New Roman"/>
          <w:b w:val="false"/>
          <w:i w:val="false"/>
          <w:color w:val="000000"/>
          <w:sz w:val="21"/>
        </w:rPr>
        <w:t>[Filed ARC 9617C</w:t>
      </w:r>
      <w:r>
        <w:rPr>
          <w:rFonts w:ascii="Times New Roman" w:hAnsi="Times New Roman"/>
          <w:b w:val="false"/>
          <w:i w:val="false"/>
          <w:color w:val="000000"/>
          <w:sz w:val="21"/>
        </w:rPr>
        <w:t xml:space="preserve"> (Notice ARC 9491C, IAB 8/20/25)</w:t>
      </w:r>
      <w:r>
        <w:rPr>
          <w:rFonts w:ascii="Times New Roman" w:hAnsi="Times New Roman"/>
          <w:b w:val="false"/>
          <w:i w:val="false"/>
          <w:color w:val="000000"/>
          <w:sz w:val="21"/>
        </w:rPr>
        <w:t>, IAB 10/15/25, effective 12/1/25]</w:t>
      </w:r>
    </w:p>
    <w:p>
      <w:pPr>
        <w:spacing w:before="0" w:after="0"/>
        <w:ind w:left="120"/>
        <w:jc w:val="center"/>
      </w:pPr>
      <w:r>
        <w:rPr>
          <w:rFonts w:ascii="Times New Roman" w:hAnsi="Times New Roman"/>
          <w:b w:val="false"/>
          <w:i w:val="false"/>
          <w:color w:val="000000"/>
          <w:sz w:val="21"/>
        </w:rPr>
        <w:t>[Editorial change: IAC Supplement 6/10/26]</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2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55.7.pdf" Type="http://schemas.openxmlformats.org/officeDocument/2006/relationships/hyperlink" Id="rId5"/>
    <Relationship TargetMode="External" Target="https://www.legis.iowa.gov/docs/ico/chapter/299A.1.pdf" Type="http://schemas.openxmlformats.org/officeDocument/2006/relationships/hyperlink" Id="rId6"/>
    <Relationship TargetMode="External" Target="https://www.legis.iowa.gov/docs/ico/chapter/260C.pdf" Type="http://schemas.openxmlformats.org/officeDocument/2006/relationships/hyperlink" Id="rId7"/>
    <Relationship TargetMode="External" Target="https://www.legis.iowa.gov/docs/ico/chapter/256.183.pdf" Type="http://schemas.openxmlformats.org/officeDocument/2006/relationships/hyperlink" Id="rId8"/>
    <Relationship TargetMode="External" Target="https://www.legis.iowa.gov/docs/ico/chapter/152.pdf" Type="http://schemas.openxmlformats.org/officeDocument/2006/relationships/hyperlink" Id="rId9"/>
    <Relationship TargetMode="External" Target="https://www.legis.iowa.gov/docs/ico/chapter/155A.pdf" Type="http://schemas.openxmlformats.org/officeDocument/2006/relationships/hyperlink" Id="rId10"/>
    <Relationship TargetMode="External" Target="https://www.legis.iowa.gov/docs/ico/chapter/148.pdf" Type="http://schemas.openxmlformats.org/officeDocument/2006/relationships/hyperlink" Id="rId11"/>
    <Relationship TargetMode="External" Target="https://www.legis.iowa.gov/docs/ico/chapter/148C.pdf" Type="http://schemas.openxmlformats.org/officeDocument/2006/relationships/hyperlink" Id="rId12"/>
    <Relationship TargetMode="External" Target="https://www.legis.iowa.gov/docs/ico/chapter/139A.8.pdf" Type="http://schemas.openxmlformats.org/officeDocument/2006/relationships/hyperlink" Id="rId13"/>
    <Relationship TargetMode="External" Target="https://www.legis.iowa.gov/docs/iac/rule/641.7.3.pdf" Type="http://schemas.openxmlformats.org/officeDocument/2006/relationships/hyperlink" Id="rId14"/>
    <Relationship TargetMode="External" Target="https://www.legis.iowa.gov/docs/iac/rule/641.7.3.pdf" Type="http://schemas.openxmlformats.org/officeDocument/2006/relationships/hyperlink" Id="rId15"/>
    <Relationship TargetMode="External" Target="https://www.legis.iowa.gov/docs/iac/rule/641.7.3.pdf" Type="http://schemas.openxmlformats.org/officeDocument/2006/relationships/hyperlink" Id="rId16"/>
    <Relationship TargetMode="External" Target="https://www.legis.iowa.gov/docs/iac/rule/641.7.3.pdf" Type="http://schemas.openxmlformats.org/officeDocument/2006/relationships/hyperlink" Id="rId17"/>
    <Relationship TargetMode="External" Target="https://www.legis.iowa.gov/docs/ico/chapter/139A.8.pdf" Type="http://schemas.openxmlformats.org/officeDocument/2006/relationships/hyperlink" Id="rId18"/>
    <Relationship Target="media/document_image_rId19.png" Type="http://schemas.openxmlformats.org/officeDocument/2006/relationships/image" Id="rId19"/>
    <Relationship TargetMode="External" Target="https://www.legis.iowa.gov/docs/ico/chapter/139A.26.pdf" Type="http://schemas.openxmlformats.org/officeDocument/2006/relationships/hyperlink" Id="rId20"/>
    <Relationship TargetMode="External" Target="https://www.legis.iowa.gov/docs/ico/chapter/139A.8.pdf" Type="http://schemas.openxmlformats.org/officeDocument/2006/relationships/hyperlink" Id="rId21"/>
    <Relationship TargetMode="External" Target="https://www.legis.iowa.gov/docs/ico/chapter/139A.8.pdf" Type="http://schemas.openxmlformats.org/officeDocument/2006/relationships/hyperlink" Id="rId22"/>
    <Relationship TargetMode="External" Target="https://www.legis.iowa.gov/docs/ico/chapter/139A.26.pdf" Type="http://schemas.openxmlformats.org/officeDocument/2006/relationships/hyperlink" Id="rId23"/>
    <Relationship TargetMode="External" Target="https://www.legis.iowa.gov/docs/ico/chapter/139A.8.pdf" Type="http://schemas.openxmlformats.org/officeDocument/2006/relationships/hyperlink" Id="rId24"/>
    <Relationship TargetMode="External" Target="https://www.legis.iowa.gov/docs/ico/chapter/139A.8.pdf" Type="http://schemas.openxmlformats.org/officeDocument/2006/relationships/hyperlink" Id="rId25"/>
    <Relationship TargetMode="External" Target="https://www.legis.iowa.gov/docs/ico/chapter/139A.26.pdf" Type="http://schemas.openxmlformats.org/officeDocument/2006/relationships/hyperlink" Id="rId26"/>
    <Relationship TargetMode="External" Target="https://www.legis.iowa.gov/docs/ico/chapter/22.7.pdf" Type="http://schemas.openxmlformats.org/officeDocument/2006/relationships/hyperlink" Id="rId27"/>
    <Relationship Target="footer.xml" Type="http://schemas.openxmlformats.org/officeDocument/2006/relationships/footer" Id="rId2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