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CONTROL OF LEAD-BASED PAINT HAZARDS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641—68.1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elevated blood lead (EBL) inspector/risk assessor”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“inspector” </w:t>
      </w:r>
      <w:r>
        <w:rPr>
          <w:rFonts w:ascii="Times New Roman" w:hAnsi="Times New Roman"/>
          <w:b w:val="false"/>
          <w:i w:val="false"/>
          <w:color w:val="000000"/>
          <w:sz w:val="22"/>
        </w:rPr>
        <w:t xml:space="preserve">means a person who has met the requirements of rule </w:t>
      </w:r>
      <w:hyperlink r:id="rId5">
        <w:r>
          <w:rPr>
            <w:rStyle w:val="Hyperlink"/>
            <w:rFonts w:ascii="Times New Roman" w:hAnsi="Times New Roman"/>
            <w:b w:val="false"/>
            <w:i w:val="false"/>
            <w:color w:val="000000"/>
            <w:sz w:val="22"/>
          </w:rPr>
          <w:t>641—70.5</w:t>
        </w:r>
      </w:hyperlink>
      <w:r>
        <w:rPr>
          <w:rFonts w:ascii="Times New Roman" w:hAnsi="Times New Roman"/>
          <w:b w:val="false"/>
          <w:i w:val="false"/>
          <w:color w:val="000000"/>
          <w:sz w:val="22"/>
        </w:rPr>
        <w:t>(135)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means a building, or portion of a building, constructed prior to 1978, visited by the same child under the age of six years on at least two different days within any week (Sunday through Saturday period, provided that each day’s visit lasts at least three hours and the combined weekly visits last at least six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“Clearance testing” </w:t>
      </w:r>
      <w:r>
        <w:rPr>
          <w:rFonts w:ascii="Times New Roman" w:hAnsi="Times New Roman"/>
          <w:b w:val="false"/>
          <w:i w:val="false"/>
          <w:color w:val="000000"/>
          <w:sz w:val="22"/>
        </w:rPr>
        <w:t>means an activity conducted following interim controls, lead abatement, paint stabilization, standard treatments, ongoing lead-based paint maintenance, or rehabilitation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“Deteriorated paint”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greater than or equal to 40 micrograms per square foot on floors, 250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40 micrograms per square foot on floors, 250 micrograms per square foot on interior windowsills, and 400 micrograms per square foot on widow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 If dust samples are not taken, it may be assumed that surfaces in rooms with hazardous lead-based paint or where renovation, remodeling, or repainting has occurred recently are dust-lead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“EBL” </w:t>
      </w:r>
      <w:r>
        <w:rPr>
          <w:rFonts w:ascii="Times New Roman" w:hAnsi="Times New Roman"/>
          <w:b w:val="false"/>
          <w:i w:val="false"/>
          <w:color w:val="000000"/>
          <w:sz w:val="22"/>
        </w:rPr>
        <w:t>means one venous blood level greater than or equal to 20 micrograms per deciliter or at least two venous blood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“EBL child”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inspection”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“EBL inspection” </w:t>
      </w:r>
      <w:r>
        <w:rPr>
          <w:rFonts w:ascii="Times New Roman" w:hAnsi="Times New Roman"/>
          <w:b w:val="false"/>
          <w:i w:val="false"/>
          <w:color w:val="000000"/>
          <w:sz w:val="22"/>
        </w:rPr>
        <w:t>means an inspection to determine the sources of lead exposure for an EBL child and the provision within ten working days of a written report explaining the results of the investigation to the property owner and occupant of the residential dwelling or child-occupied facility being inspected and to the parents of the EBL child. An inspector shall not determine that a residential dwelling is free of lead-based paint as a result of an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any paint or other surface coatings that contain lead equal to or in excess of 1.0 milligram of lead per square centimeter or more than 0.5 percent by weight. Lead-based paint is present on any surface that is tested and found to contain lead equal to or in excess of 1.0 milligram per square centimeter or more than 0.5 percent by weight and on any surface like a surface tested in the same room equivalent that has a similar painting history and that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w:t>
      </w:r>
      <w:r>
        <w:rPr>
          <w:rFonts w:ascii="Times New Roman" w:hAnsi="Times New Roman"/>
          <w:b w:val="false"/>
          <w:i w:val="false"/>
          <w:color w:val="000000"/>
          <w:sz w:val="22"/>
        </w:rPr>
        <w:t xml:space="preserve">means the local board of health as authorized by Iowa Code chapter </w:t>
      </w:r>
      <w:hyperlink r:id="rId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“Occupant” </w:t>
      </w:r>
      <w:r>
        <w:rPr>
          <w:rFonts w:ascii="Times New Roman" w:hAnsi="Times New Roman"/>
          <w:b w:val="false"/>
          <w:i w:val="false"/>
          <w:color w:val="000000"/>
          <w:sz w:val="22"/>
        </w:rPr>
        <w:t>means any person living, sleeping, cooking or eating in, or having any actual possession of a dwelling or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any person who, alone or jointly with others, (1) has legal title to any dwelling, with or without accompanying actual possession thereof, or (2) has charge, care, or control of any dwelling by acting as the agent of the owner or as the executor, administrator, trustee, or guardian of the estate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“Paint-lead hazard”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building” </w:t>
      </w:r>
      <w:r>
        <w:rPr>
          <w:rFonts w:ascii="Times New Roman" w:hAnsi="Times New Roman"/>
          <w:b w:val="false"/>
          <w:i w:val="false"/>
          <w:color w:val="000000"/>
          <w:sz w:val="22"/>
        </w:rPr>
        <w:t>means a building containing one or more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that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“Retaliation” </w:t>
      </w:r>
      <w:r>
        <w:rPr>
          <w:rFonts w:ascii="Times New Roman" w:hAnsi="Times New Roman"/>
          <w:b w:val="false"/>
          <w:i w:val="false"/>
          <w:color w:val="000000"/>
          <w:sz w:val="22"/>
        </w:rPr>
        <w:t>means harassment, termination of the tenancy, discontinuation of utilities or other services, and any other action taken against 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 If soil samples are not taken, it may be assumed that bare soil within 3 feet of the foundation of a garage or other structure built prior to 1978 is a soil-lead hazard.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641—68.2</w:t>
      </w:r>
      <w:r>
        <w:rPr>
          <w:rFonts w:ascii="Times New Roman" w:hAnsi="Times New Roman"/>
          <w:b/>
          <w:i w:val="false"/>
          <w:color w:val="000000"/>
          <w:sz w:val="22"/>
        </w:rPr>
        <w:t xml:space="preserve">(135) </w:t>
      </w:r>
      <w:r>
        <w:rPr>
          <w:rFonts w:ascii="Times New Roman" w:hAnsi="Times New Roman"/>
          <w:b/>
          <w:i w:val="false"/>
          <w:color w:val="000000"/>
          <w:sz w:val="22"/>
        </w:rPr>
        <w:t xml:space="preserve">EBL inspections required. </w:t>
      </w:r>
      <w:r>
        <w:rPr>
          <w:rFonts w:ascii="Times New Roman" w:hAnsi="Times New Roman"/>
          <w:b w:val="false"/>
          <w:i w:val="false"/>
          <w:color w:val="000000"/>
          <w:sz w:val="22"/>
        </w:rPr>
        <w:t>The local board will appoint a certified inspector to conduct EBL inspections in residential dwellings and child-occupied facilities where an EBL child lives, visits, or has recently lived. All owners and occupants shall allow access to the residential dwellings and child-occupied facilities that the certified inspector desires to inspect.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641—68.3</w:t>
      </w:r>
      <w:r>
        <w:rPr>
          <w:rFonts w:ascii="Times New Roman" w:hAnsi="Times New Roman"/>
          <w:b/>
          <w:i w:val="false"/>
          <w:color w:val="000000"/>
          <w:sz w:val="22"/>
        </w:rPr>
        <w:t xml:space="preserve">(135) </w:t>
      </w:r>
      <w:r>
        <w:rPr>
          <w:rFonts w:ascii="Times New Roman" w:hAnsi="Times New Roman"/>
          <w:b/>
          <w:i w:val="false"/>
          <w:color w:val="000000"/>
          <w:sz w:val="22"/>
        </w:rPr>
        <w:t xml:space="preserve">Refusal of admittance. </w:t>
      </w:r>
      <w:r>
        <w:rPr>
          <w:rFonts w:ascii="Times New Roman" w:hAnsi="Times New Roman"/>
          <w:b w:val="false"/>
          <w:i w:val="false"/>
          <w:color w:val="000000"/>
          <w:sz w:val="22"/>
        </w:rPr>
        <w:t>If the inspector appointed by the local board is refused entry to a property, then the inspector may make a complaint under oath to any magistrate of the county. The magistrate may issue a warrant directing the owner or occupant to allow the inspector to conduct an EBL inspection and directing a peace officer to accompany the inspector during the EBL inspection/risk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641—68.4</w:t>
      </w:r>
      <w:r>
        <w:rPr>
          <w:rFonts w:ascii="Times New Roman" w:hAnsi="Times New Roman"/>
          <w:b/>
          <w:i w:val="false"/>
          <w:color w:val="000000"/>
          <w:sz w:val="22"/>
        </w:rPr>
        <w:t xml:space="preserve">(135) </w:t>
      </w:r>
      <w:r>
        <w:rPr>
          <w:rFonts w:ascii="Times New Roman" w:hAnsi="Times New Roman"/>
          <w:b/>
          <w:i w:val="false"/>
          <w:color w:val="000000"/>
          <w:sz w:val="22"/>
        </w:rPr>
        <w:t xml:space="preserve">Lead hazard reduction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val="false"/>
          <w:color w:val="000000"/>
          <w:sz w:val="22"/>
        </w:rPr>
        <w:t>When the certified inspector appointed by the local board determines that hazardous lead-based paint, a dust-lead hazard, or a soil-lead hazard is present in a residential dwelling unit or child-occupied facility where an EBL child lives, frequently visits, or has recently resided, the inspector shall issue a written notice to the owner within two weeks of the inspection and receipt of any laboratory results. The written notice shall require the owner to complete lead hazard reduction in a time period determined by the inspector. If the occupant who occupies the residential dwelling at the time that this written notice is issued vacates the residential dwelling, the residential dwelling shall not be leased or occupied by any other person until the inspector issues a written notice that the lead hazard reduction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any residential dwelling or child-occupied facility that has been determined to contain hazardous lead-based paint, a soil-lead hazard, or a dust-lead hazard shall correct these hazards within the time period allowed by the inspector in the written notice. The following methods shall be used for lead hazard reduction. These methods do not require the services of a lead abatement contractor certified in accordance with rule </w:t>
      </w:r>
      <w:hyperlink r:id="rId7">
        <w:r>
          <w:rPr>
            <w:rStyle w:val="Hyperlink"/>
            <w:rFonts w:ascii="Times New Roman" w:hAnsi="Times New Roman"/>
            <w:b w:val="false"/>
            <w:i w:val="false"/>
            <w:color w:val="000000"/>
            <w:sz w:val="22"/>
          </w:rPr>
          <w:t>641—70.5</w:t>
        </w:r>
      </w:hyperlink>
      <w:r>
        <w:rPr>
          <w:rFonts w:ascii="Times New Roman" w:hAnsi="Times New Roman"/>
          <w:b w:val="false"/>
          <w:i w:val="false"/>
          <w:color w:val="000000"/>
          <w:sz w:val="22"/>
        </w:rPr>
        <w:t xml:space="preserve">(135). However, other local, state, or federal regulations may require the use of a contractor who has completed an eight-hour lead-safe work practices course or a lead abatement contractor or lead abatement worker certified in accordance with rule </w:t>
      </w:r>
      <w:hyperlink r:id="rId8">
        <w:r>
          <w:rPr>
            <w:rStyle w:val="Hyperlink"/>
            <w:rFonts w:ascii="Times New Roman" w:hAnsi="Times New Roman"/>
            <w:b w:val="false"/>
            <w:i w:val="false"/>
            <w:color w:val="000000"/>
            <w:sz w:val="22"/>
          </w:rPr>
          <w:t>641—70.5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 surface that contains hazardous lead-based paint but is not chewable and does not have evidence of impact or friction, the lead-based paint hazard shall be reduced by removing all loose and deteriorated paint from the surface, preparing the surface for repainting, and repainting the surface with a lead-free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a surface that contains hazardous lead-based paint and is chewable or has evidence of impact or friction, the lead-based paint hazard shall be reduced by treating the surface 1 inch back from the edge or corner through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lead-based paint on the treatment area shall be removed to the bare substrate. The surface shall be prepared for repainting and repainted with a lead-free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area shall be covered with a permanently affixed lead-free material such as plastic, wood, or vinyl. Carpet may be used on floors and stair treads.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Dust-lead hazards shall be reduced by thoroughly cleaning the affected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Soil-lead hazards shall be reduced by planting grass or groundcover, applying sod, or covering the affected area with 6 inches of bark, gravel, or other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Lead hazard reduction shall be conducted using lead-safe work practices to protect the safety of the occupants and workers. Occupants shall not enter the work area while work is underway. The following are prohibited methods of lead hazard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lead-based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lead-based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inspector shall inspect all areas identified as hazards after lead hazard reduction is complete. The inspector may conduct clearance testing pursuant to </w:t>
      </w:r>
      <w:hyperlink r:id="rId9">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xml:space="preserve"> to ensure that no dust-lead hazards exist after the work is complete. Within two weeks of verifying that all lead hazard reduction has been completed as required, the inspector shall issue a written notice to the owner and occupant stating that the lead hazard reduction has been completed and that the repaired surfaces must be maintained in good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641—68.5</w:t>
      </w:r>
      <w:r>
        <w:rPr>
          <w:rFonts w:ascii="Times New Roman" w:hAnsi="Times New Roman"/>
          <w:b/>
          <w:i w:val="false"/>
          <w:color w:val="000000"/>
          <w:sz w:val="22"/>
        </w:rPr>
        <w:t xml:space="preserve">(135) </w:t>
      </w:r>
      <w:r>
        <w:rPr>
          <w:rFonts w:ascii="Times New Roman" w:hAnsi="Times New Roman"/>
          <w:b/>
          <w:i w:val="false"/>
          <w:color w:val="000000"/>
          <w:sz w:val="22"/>
        </w:rPr>
        <w:t xml:space="preserve">Retaliation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val="false"/>
          <w:color w:val="000000"/>
          <w:sz w:val="22"/>
        </w:rPr>
        <w:t>The lessor of a dwelling, the employees of the lessor, and agents or persons acting on behalf of the lessor shall not retaliate against lessees of residential dwellings and child-occupied facilities whose occupants or visitors have been tested for lead poisoning and shall not discourage the occupants or visitors from being tested for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val="false"/>
          <w:color w:val="000000"/>
          <w:sz w:val="22"/>
        </w:rPr>
        <w:t>An action taken against the lessee is not considered retaliation if it is supported by reasonable cause unrelated to the testing of an occupant for lead poisoning or if it is shown to have occurred as a result of an accident or mistake and not to be the intentional act of the lessor of a dwelling, the employees of the lessor, or agents or persons acting on behalf of the lessor.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641—68.6</w:t>
      </w:r>
      <w:r>
        <w:rPr>
          <w:rFonts w:ascii="Times New Roman" w:hAnsi="Times New Roman"/>
          <w:b/>
          <w:i w:val="false"/>
          <w:color w:val="000000"/>
          <w:sz w:val="22"/>
        </w:rPr>
        <w:t xml:space="preserve">(135)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inspector appointed by the local board will have the duty and responsibility of enforcing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Penalties are as provided in Iowa Code section </w:t>
      </w:r>
      <w:hyperlink r:id="rId10">
        <w:r>
          <w:rPr>
            <w:rStyle w:val="Hyperlink"/>
            <w:rFonts w:ascii="Times New Roman" w:hAnsi="Times New Roman"/>
            <w:b w:val="false"/>
            <w:i w:val="false"/>
            <w:color w:val="000000"/>
            <w:sz w:val="22"/>
          </w:rPr>
          <w:t>137.117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val="false"/>
          <w:color w:val="000000"/>
          <w:sz w:val="22"/>
        </w:rPr>
        <w:t>Upon failure of any person to correct a hazard identified through this chapter in the time specified by the inspector appointed by the local board, the local board may direct or cause the correction of said hazards. All expenses incurred thereby may be recovered by suit in the name of the local board, or the local board may certify the amount of the expenses, together with a description of the property, to the county treasurer, who will enter the same into the tax roll as costs for removing a lead hazard, and the amounts will be collected as other taxes.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641—68.7</w:t>
      </w:r>
      <w:r>
        <w:rPr>
          <w:rFonts w:ascii="Times New Roman" w:hAnsi="Times New Roman"/>
          <w:b/>
          <w:i w:val="false"/>
          <w:color w:val="000000"/>
          <w:sz w:val="22"/>
        </w:rPr>
        <w:t xml:space="preserve">(135) </w:t>
      </w:r>
      <w:r>
        <w:rPr>
          <w:rFonts w:ascii="Times New Roman" w:hAnsi="Times New Roman"/>
          <w:b/>
          <w:i w:val="false"/>
          <w:color w:val="000000"/>
          <w:sz w:val="22"/>
        </w:rPr>
        <w:t xml:space="preserve">Hearings. </w:t>
      </w:r>
      <w:r>
        <w:rPr>
          <w:rFonts w:ascii="Times New Roman" w:hAnsi="Times New Roman"/>
          <w:b w:val="false"/>
          <w:i w:val="false"/>
          <w:color w:val="000000"/>
          <w:sz w:val="22"/>
        </w:rPr>
        <w:t>In the event any person is aggrieved by any order of the inspector, the person may appeal to the local board in writing within ten days of the date of such order. The appeal shall state the reasons for requesting the order to be rescinded or modified. The local board will review the action of the inspector. The local board will order compliance with the order or may, with cause, modify or withdraw the order. Any order of the local board may be appealed within ten days to the district court for the county in which the local board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641—68.8</w:t>
      </w:r>
      <w:r>
        <w:rPr>
          <w:rFonts w:ascii="Times New Roman" w:hAnsi="Times New Roman"/>
          <w:b/>
          <w:i w:val="false"/>
          <w:color w:val="000000"/>
          <w:sz w:val="22"/>
        </w:rPr>
        <w:t xml:space="preserve">(135) </w:t>
      </w:r>
      <w:r>
        <w:rPr>
          <w:rFonts w:ascii="Times New Roman" w:hAnsi="Times New Roman"/>
          <w:b/>
          <w:i w:val="false"/>
          <w:color w:val="000000"/>
          <w:sz w:val="22"/>
        </w:rPr>
        <w:t xml:space="preserve">Variances. </w:t>
      </w:r>
      <w:r>
        <w:rPr>
          <w:rFonts w:ascii="Times New Roman" w:hAnsi="Times New Roman"/>
          <w:b w:val="false"/>
          <w:i w:val="false"/>
          <w:color w:val="000000"/>
          <w:sz w:val="22"/>
        </w:rPr>
        <w:t>The inspector may determine that a chewable surface that would otherwise be identified as a hazard by this chapter is not causing or does not have reasonable potential to cause lead exposure and is not required to be corrected through lead hazard reduction. The inspector shall document the reason for this determination in the inspection report. However, the inspector shall not, under any circumstances, determine that any other surface meeting the definition of hazardous lead-based paint does not need to be corrected through lead hazard reduction.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641—68.9</w:t>
      </w:r>
      <w:r>
        <w:rPr>
          <w:rFonts w:ascii="Times New Roman" w:hAnsi="Times New Roman"/>
          <w:b/>
          <w:i w:val="false"/>
          <w:color w:val="000000"/>
          <w:sz w:val="22"/>
        </w:rPr>
        <w:t xml:space="preserve">(135) </w:t>
      </w:r>
      <w:r>
        <w:rPr>
          <w:rFonts w:ascii="Times New Roman" w:hAnsi="Times New Roman"/>
          <w:b/>
          <w:i w:val="false"/>
          <w:color w:val="000000"/>
          <w:sz w:val="22"/>
        </w:rPr>
        <w:t xml:space="preserve">Injunction. </w:t>
      </w:r>
      <w:r>
        <w:rPr>
          <w:rFonts w:ascii="Times New Roman" w:hAnsi="Times New Roman"/>
          <w:b w:val="false"/>
          <w:i w:val="false"/>
          <w:color w:val="000000"/>
          <w:sz w:val="22"/>
        </w:rPr>
        <w:t>Nothing in this chapter prevents a local board from pursuing injunctive relief or other relief as allowed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641—68.10</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will be in effect in a jurisdiction after a local board adopts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7/16/04, Notice 5/26/04—published 8/4/04, effective 9/8/04]</w:t>
      </w:r>
    </w:p>
    <w:p>
      <w:pPr>
        <w:spacing w:before="0" w:after="0"/>
        <w:ind w:left="120"/>
        <w:jc w:val="center"/>
      </w:pPr>
      <w:r>
        <w:rPr>
          <w:rFonts w:ascii="Times New Roman" w:hAnsi="Times New Roman"/>
          <w:b w:val="false"/>
          <w:i w:val="false"/>
          <w:color w:val="000000"/>
          <w:sz w:val="21"/>
        </w:rPr>
        <w:t>[Filed ARC 9071C</w:t>
      </w:r>
      <w:r>
        <w:rPr>
          <w:rFonts w:ascii="Times New Roman" w:hAnsi="Times New Roman"/>
          <w:b w:val="false"/>
          <w:i w:val="false"/>
          <w:color w:val="000000"/>
          <w:sz w:val="21"/>
        </w:rPr>
        <w:t xml:space="preserve"> (Notice ARC 8719C, IAB 1/8/25)</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70.5.pdf" Type="http://schemas.openxmlformats.org/officeDocument/2006/relationships/hyperlink" Id="rId5"/>
    <Relationship TargetMode="External" Target="https://www.legis.iowa.gov/docs/ico/chapter/137.pdf" Type="http://schemas.openxmlformats.org/officeDocument/2006/relationships/hyperlink" Id="rId6"/>
    <Relationship TargetMode="External" Target="https://www.legis.iowa.gov/docs/iac/rule/641.70.5.pdf" Type="http://schemas.openxmlformats.org/officeDocument/2006/relationships/hyperlink" Id="rId7"/>
    <Relationship TargetMode="External" Target="https://www.legis.iowa.gov/docs/iac/rule/641.70.5.pdf" Type="http://schemas.openxmlformats.org/officeDocument/2006/relationships/hyperlink" Id="rId8"/>
    <Relationship TargetMode="External" Target="https://www.legis.iowa.gov/docs/iac/chapter/641.70.pdf" Type="http://schemas.openxmlformats.org/officeDocument/2006/relationships/hyperlink" Id="rId9"/>
    <Relationship TargetMode="External" Target="https://www.legis.iowa.gov/docs/ico/chapter/137.117.pdf" Type="http://schemas.openxmlformats.org/officeDocument/2006/relationships/hyperlink" Id="rId10"/>
    <Relationship TargetMode="External" Target="https://www.legis.iowa.gov/docs/ico/chapter/135.10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