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BLOOD LEAD TESTING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641—67.1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any person seeking first-time enrollment in kindergarten in a public or accredited nonpublic elementary school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 student” </w:t>
      </w:r>
      <w:r>
        <w:rPr>
          <w:rFonts w:ascii="Times New Roman" w:hAnsi="Times New Roman"/>
          <w:b w:val="false"/>
          <w:i w:val="false"/>
          <w:color w:val="000000"/>
          <w:sz w:val="22"/>
        </w:rPr>
        <w:t>means an applicant from any school outside Iowa who is seeking enrollment in kindergarten in a school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9070C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641—67.2</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included. </w:t>
      </w:r>
      <w:r>
        <w:rPr>
          <w:rFonts w:ascii="Times New Roman" w:hAnsi="Times New Roman"/>
          <w:b w:val="false"/>
          <w:i w:val="false"/>
          <w:color w:val="000000"/>
          <w:sz w:val="22"/>
        </w:rPr>
        <w:t>The blood lead testing requirement specified in this chapter applies to all applicants and transfer students as defined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9070C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641—67.3</w:t>
      </w:r>
      <w:r>
        <w:rPr>
          <w:rFonts w:ascii="Times New Roman" w:hAnsi="Times New Roman"/>
          <w:b/>
          <w:i w:val="false"/>
          <w:color w:val="000000"/>
          <w:sz w:val="22"/>
        </w:rPr>
        <w:t xml:space="preserve">(135) </w:t>
      </w:r>
      <w:r>
        <w:rPr>
          <w:rFonts w:ascii="Times New Roman" w:hAnsi="Times New Roman"/>
          <w:b/>
          <w:i w:val="false"/>
          <w:color w:val="000000"/>
          <w:sz w:val="22"/>
        </w:rPr>
        <w:t xml:space="preserve">Persons excluded. </w:t>
      </w:r>
      <w:r>
        <w:rPr>
          <w:rFonts w:ascii="Times New Roman" w:hAnsi="Times New Roman"/>
          <w:b w:val="false"/>
          <w:i w:val="false"/>
          <w:color w:val="000000"/>
          <w:sz w:val="22"/>
        </w:rPr>
        <w:t>Exclusions to these rules are permitted on an individual basis for religious reasons and for children determined by the department to be at very low risk for elevated blood lead levels. The parent or guardian of an applicant or transfer student approved for a religious exemption or an exemption for very low risk shall submit to the board of directors of each school district and the authorities in charge of each nonpublic school a valid department certificate of blood lead testing exemption.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9070C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641—67.4</w:t>
      </w:r>
      <w:r>
        <w:rPr>
          <w:rFonts w:ascii="Times New Roman" w:hAnsi="Times New Roman"/>
          <w:b/>
          <w:i w:val="false"/>
          <w:color w:val="000000"/>
          <w:sz w:val="22"/>
        </w:rPr>
        <w:t xml:space="preserve">(135) </w:t>
      </w:r>
      <w:r>
        <w:rPr>
          <w:rFonts w:ascii="Times New Roman" w:hAnsi="Times New Roman"/>
          <w:b/>
          <w:i w:val="false"/>
          <w:color w:val="000000"/>
          <w:sz w:val="22"/>
        </w:rPr>
        <w:t xml:space="preserve">Records. </w:t>
      </w:r>
      <w:r>
        <w:rPr>
          <w:rFonts w:ascii="Times New Roman" w:hAnsi="Times New Roman"/>
          <w:b w:val="false"/>
          <w:i w:val="false"/>
          <w:color w:val="000000"/>
          <w:sz w:val="22"/>
        </w:rPr>
        <w:t>Within the constraints of the privacy rights of the parents or guardians and students, the local board of health, the department of education, and the department or its designee have the right to access the department’s determination that a child has received a blood lead test and the certificates of blood lead testing exemption of children enrolled in kindergarten.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9070C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135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9070C</w:t>
      </w:r>
      <w:r>
        <w:rPr>
          <w:rFonts w:ascii="Times New Roman" w:hAnsi="Times New Roman"/>
          <w:b w:val="false"/>
          <w:i w:val="false"/>
          <w:color w:val="000000"/>
          <w:sz w:val="21"/>
        </w:rPr>
        <w:t xml:space="preserve"> (Notice ARC 8720C, IAB 1/8/25)</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