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BRAIN INJURY SERVICES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spacing w:before="0" w:after="0"/>
        <w:ind w:left="120"/>
        <w:jc w:val="both"/>
      </w:pPr>
      <w:r>
        <w:rPr>
          <w:rFonts w:ascii="Times New Roman" w:hAnsi="Times New Roman"/>
          <w:b/>
          <w:i w:val="false"/>
          <w:color w:val="000000"/>
          <w:sz w:val="22"/>
        </w:rPr>
        <w:t>641—56.1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with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 services waiver”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share”</w:t>
      </w:r>
      <w:r>
        <w:rPr>
          <w:rFonts w:ascii="Times New Roman" w:hAnsi="Times New Roman"/>
          <w:b w:val="false"/>
          <w:i w:val="false"/>
          <w:color w:val="000000"/>
          <w:sz w:val="22"/>
        </w:rPr>
        <w:t> </w:t>
      </w:r>
      <w:r>
        <w:rPr>
          <w:rFonts w:ascii="Times New Roman" w:hAnsi="Times New Roman"/>
          <w:b w:val="false"/>
          <w:i w:val="false"/>
          <w:color w:val="000000"/>
          <w:sz w:val="22"/>
        </w:rPr>
        <w:t>means the portion an individual is responsible to pay for services received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“Countable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initial and ongoing eligibility for the brain injury services program, means all earned and unearned income unless specifically exempted in </w:t>
      </w:r>
      <w:hyperlink r:id="rId6">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size,”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establishing initial and ongoing eligibility under the brain injury services program, means all persons living together who are children and who are parents of those children as defined in </w:t>
      </w:r>
      <w:hyperlink r:id="rId7">
        <w:r>
          <w:rPr>
            <w:rStyle w:val="Hyperlink"/>
            <w:rFonts w:ascii="Times New Roman" w:hAnsi="Times New Roman"/>
            <w:b w:val="false"/>
            <w:i w:val="false"/>
            <w:color w:val="000000"/>
            <w:sz w:val="22"/>
          </w:rPr>
          <w:t>441—subrule 86.2(3)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applied for and been found eligible to participate in the waiver-eligible component or the cost-share component of the brain injury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department’s brain injury services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641—56.2</w:t>
      </w:r>
      <w:r>
        <w:rPr>
          <w:rFonts w:ascii="Times New Roman" w:hAnsi="Times New Roman"/>
          <w:b/>
          <w:i w:val="false"/>
          <w:color w:val="000000"/>
          <w:sz w:val="22"/>
        </w:rPr>
        <w:t xml:space="preserve">(135) </w:t>
      </w:r>
      <w:r>
        <w:rPr>
          <w:rFonts w:ascii="Times New Roman" w:hAnsi="Times New Roman"/>
          <w:b/>
          <w:i w:val="false"/>
          <w:color w:val="000000"/>
          <w:sz w:val="22"/>
        </w:rPr>
        <w:t xml:space="preserve">Waiver-eligible component. </w:t>
      </w:r>
      <w:r>
        <w:rPr>
          <w:rFonts w:ascii="Times New Roman" w:hAnsi="Times New Roman"/>
          <w:b w:val="false"/>
          <w:i w:val="false"/>
          <w:color w:val="000000"/>
          <w:sz w:val="22"/>
        </w:rPr>
        <w:t>Persons eligible for the brain injury services waiver and on the waiting list for the waiver are eligible for the waiver-eligible component. The program may provide funding for the nonfederal share of the cost of services if the appropriation for the medical assistance program does not have sufficient funding designated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val="false"/>
          <w:color w:val="000000"/>
          <w:sz w:val="22"/>
        </w:rPr>
        <w:t>Provision of funding under this component is not an entitlement and is subject to funding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val="false"/>
          <w:color w:val="000000"/>
          <w:sz w:val="22"/>
        </w:rPr>
        <w:t>A person who receives support under the waiver-eligible component of the program is not eligible to receive support under the cost-share component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641—56.3</w:t>
      </w:r>
      <w:r>
        <w:rPr>
          <w:rFonts w:ascii="Times New Roman" w:hAnsi="Times New Roman"/>
          <w:b/>
          <w:i w:val="false"/>
          <w:color w:val="000000"/>
          <w:sz w:val="22"/>
        </w:rPr>
        <w:t xml:space="preserve">(135) </w:t>
      </w:r>
      <w:r>
        <w:rPr>
          <w:rFonts w:ascii="Times New Roman" w:hAnsi="Times New Roman"/>
          <w:b/>
          <w:i w:val="false"/>
          <w:color w:val="000000"/>
          <w:sz w:val="22"/>
        </w:rPr>
        <w:t xml:space="preserve">Cost-share component. </w:t>
      </w:r>
      <w:r>
        <w:rPr>
          <w:rFonts w:ascii="Times New Roman" w:hAnsi="Times New Roman"/>
          <w:b w:val="false"/>
          <w:i w:val="false"/>
          <w:color w:val="000000"/>
          <w:sz w:val="22"/>
        </w:rPr>
        <w:t>Persons determined ineligible for the brain injury services waiver due to fiscal or functional criteria or persons who are eligible for the waiver but for whom funding was not authorized or available to provide waiver eligibility are eligible for the cost-share component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val="false"/>
          <w:color w:val="000000"/>
          <w:sz w:val="22"/>
        </w:rPr>
        <w:t>An individual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aged one month through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 brain injury as defined in Iowa Code section </w:t>
      </w:r>
      <w:hyperlink r:id="rId8">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a resident of Iowa and either a United States citizen or a qualified alien as defined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meets the cost-share component’s financial eligibility requirements and is willing to pay a cost share for the cost-share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val="false"/>
          <w:color w:val="000000"/>
          <w:sz w:val="22"/>
        </w:rPr>
        <w:t>Financial eligibility and cost share. The department will use countable income to  determine initial and ongoing eligibility for the program. Cost share will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are at 300 percent or below the federal poverty level for a family of the same size will not be assessed a cost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between 301 percent and 350 percent of the federal poverty level for a family of the same size will be assessed a 10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between 351 percent and 400 percent of the federal poverty level for a family of the same size will be assessed a 20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above 400 percent of the federal poverty level for a family of the same size will be assessed a 30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val="false"/>
          <w:color w:val="000000"/>
          <w:sz w:val="22"/>
        </w:rPr>
        <w:t>The cost-share component must be the source of last resort for payment; the program will not pay for services when the provision of those services is mandated by law or administrative rule to be the responsibility of another governmental unit, private agency or program. Brain injury cost-share services are not available to an individual who receives services or funding under any type of medical assistance home- and community-based services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641—56.4</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application materials, including the waiver application and any denial letter, financial assessment, and functional assessment regarding the person in an agreed-upon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eligibility within 45 days of receipt of complete application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determining if the applicant’s service needs fit within the scope of the program, the department will inform the discharge planner or case manager on behalf of the applicant or the applicant’s legal representative of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manager will establish an interdisciplinary team for each member and, with the team, identify the member’s plan based on the member’s needs and desires as well as the availability and appropriateness of services. The case manager will notify the department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eligibility for applicants deemed eligible for the cost-share component will be the date when both the service eligibility and financial eligibility assessments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or the applicant’s legal representative within seven days of the date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56.4(3)</w:t>
      </w:r>
      <w:r>
        <w:rPr>
          <w:rFonts w:ascii="Times New Roman" w:hAnsi="Times New Roman"/>
          <w:b w:val="false"/>
          <w:i w:val="false"/>
          <w:color w:val="000000"/>
          <w:sz w:val="22"/>
        </w:rPr>
        <w:t> </w:t>
      </w:r>
      <w:r>
        <w:rPr>
          <w:rFonts w:ascii="Times New Roman" w:hAnsi="Times New Roman"/>
          <w:b w:val="false"/>
          <w:i w:val="false"/>
          <w:color w:val="000000"/>
          <w:sz w:val="22"/>
        </w:rPr>
        <w:t>After determining an applicant’s eligibility, if no payment slot is available, the program will enter the applicant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 completed application is date-stamped in a county office of the department. If more than one application is received on the same date, applicants will be entered on the waiting list on the basis of the applicant’s month of birth, with January designated as month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slots become available, applicants will be selected from the waiting list based on their order on the waiting list to maintain the number of persons approved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56.4(4)</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shall complete and sign a Brain Injury Functional Assessment form indicating the member’s choice of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56.4(5)</w:t>
      </w:r>
      <w:r>
        <w:rPr>
          <w:rFonts w:ascii="Times New Roman" w:hAnsi="Times New Roman"/>
          <w:b w:val="false"/>
          <w:i w:val="false"/>
          <w:color w:val="000000"/>
          <w:sz w:val="22"/>
        </w:rPr>
        <w:t> </w:t>
      </w:r>
      <w:r>
        <w:rPr>
          <w:rFonts w:ascii="Times New Roman" w:hAnsi="Times New Roman"/>
          <w:b w:val="false"/>
          <w:i w:val="false"/>
          <w:color w:val="000000"/>
          <w:sz w:val="22"/>
        </w:rPr>
        <w:t>The member’s case manager will initiate development of the consumer’s service plan and commencement of services. All service plans must be approved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pay the cost of services provided to a member prior to approval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56.4(7)</w:t>
      </w:r>
      <w:r>
        <w:rPr>
          <w:rFonts w:ascii="Times New Roman" w:hAnsi="Times New Roman"/>
          <w:b w:val="false"/>
          <w:i w:val="false"/>
          <w:color w:val="000000"/>
          <w:sz w:val="22"/>
        </w:rPr>
        <w:t> </w:t>
      </w:r>
      <w:r>
        <w:rPr>
          <w:rFonts w:ascii="Times New Roman" w:hAnsi="Times New Roman"/>
          <w:b w:val="false"/>
          <w:i w:val="false"/>
          <w:color w:val="000000"/>
          <w:sz w:val="22"/>
        </w:rPr>
        <w:t>The program will make the final determination as to whether program funding will be authorized under the cost-share component.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641—56.5</w:t>
      </w:r>
      <w:r>
        <w:rPr>
          <w:rFonts w:ascii="Times New Roman" w:hAnsi="Times New Roman"/>
          <w:b/>
          <w:i w:val="false"/>
          <w:color w:val="000000"/>
          <w:sz w:val="22"/>
        </w:rPr>
        <w:t xml:space="preserve">(135) </w:t>
      </w:r>
      <w:r>
        <w:rPr>
          <w:rFonts w:ascii="Times New Roman" w:hAnsi="Times New Roman"/>
          <w:b/>
          <w:i w:val="false"/>
          <w:color w:val="000000"/>
          <w:sz w:val="22"/>
        </w:rPr>
        <w:t xml:space="preserve">Service providers and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val="false"/>
          <w:color w:val="000000"/>
          <w:sz w:val="22"/>
        </w:rPr>
        <w:t>A service provider must either be certified to provide services under the brain injury services waiver or have a contract with a county to provide services and apply to become certified to provide services under the brain injury services waiver within 90 days of the date that services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payable for the cost of a service provided under the cost-share component is the rate payable under the medical assistance program. However, if the service provider does not have a medical assistance program reimbursement rate, the rate will be the amount payable under the county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val="false"/>
          <w:color w:val="000000"/>
          <w:sz w:val="22"/>
        </w:rPr>
        <w:t>All service providers must contract with the department and will be paid retroactively to the date of service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56.5(4)</w:t>
      </w:r>
      <w:r>
        <w:rPr>
          <w:rFonts w:ascii="Times New Roman" w:hAnsi="Times New Roman"/>
          <w:b w:val="false"/>
          <w:i w:val="false"/>
          <w:color w:val="000000"/>
          <w:sz w:val="22"/>
        </w:rPr>
        <w:t> </w:t>
      </w:r>
      <w:r>
        <w:rPr>
          <w:rFonts w:ascii="Times New Roman" w:hAnsi="Times New Roman"/>
          <w:b w:val="false"/>
          <w:i w:val="false"/>
          <w:color w:val="000000"/>
          <w:sz w:val="22"/>
        </w:rPr>
        <w:t>Service providers will be responsible for billing and collection of any cost share from an individual as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641—56.6</w:t>
      </w:r>
      <w:r>
        <w:rPr>
          <w:rFonts w:ascii="Times New Roman" w:hAnsi="Times New Roman"/>
          <w:b/>
          <w:i w:val="false"/>
          <w:color w:val="000000"/>
          <w:sz w:val="22"/>
        </w:rPr>
        <w:t xml:space="preserve">(135) </w:t>
      </w:r>
      <w:r>
        <w:rPr>
          <w:rFonts w:ascii="Times New Roman" w:hAnsi="Times New Roman"/>
          <w:b/>
          <w:i w:val="false"/>
          <w:color w:val="000000"/>
          <w:sz w:val="22"/>
        </w:rPr>
        <w:t xml:space="preserve">Available services/service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val="false"/>
          <w:color w:val="000000"/>
          <w:sz w:val="22"/>
        </w:rPr>
        <w:t>Services available will be consistent with the services offered through the Medicaid home- and community-based services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val="false"/>
          <w:color w:val="000000"/>
          <w:sz w:val="22"/>
        </w:rPr>
        <w:t>Service plans must reflect use of all services, including non-cost-shared services, to ensure that no duplication of services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val="false"/>
          <w:color w:val="000000"/>
          <w:sz w:val="22"/>
        </w:rPr>
        <w:t>All service plans must be submitted, either electronically or in hard-copy format, to the program for approval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val="false"/>
          <w:color w:val="000000"/>
          <w:sz w:val="22"/>
        </w:rPr>
        <w:t>Any change to the service plan must be approved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641—56.7</w:t>
      </w:r>
      <w:r>
        <w:rPr>
          <w:rFonts w:ascii="Times New Roman" w:hAnsi="Times New Roman"/>
          <w:b/>
          <w:i w:val="false"/>
          <w:color w:val="000000"/>
          <w:sz w:val="22"/>
        </w:rPr>
        <w:t xml:space="preserve">(135) </w:t>
      </w:r>
      <w:r>
        <w:rPr>
          <w:rFonts w:ascii="Times New Roman" w:hAnsi="Times New Roman"/>
          <w:b/>
          <w:i w:val="false"/>
          <w:color w:val="000000"/>
          <w:sz w:val="22"/>
        </w:rPr>
        <w:t xml:space="preserve">Redetermination.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56.7(1)</w:t>
      </w:r>
      <w:r>
        <w:rPr>
          <w:rFonts w:ascii="Times New Roman" w:hAnsi="Times New Roman"/>
          <w:b w:val="false"/>
          <w:i w:val="false"/>
          <w:color w:val="000000"/>
          <w:sz w:val="22"/>
        </w:rPr>
        <w:t> </w:t>
      </w:r>
      <w:r>
        <w:rPr>
          <w:rFonts w:ascii="Times New Roman" w:hAnsi="Times New Roman"/>
          <w:b w:val="false"/>
          <w:i w:val="false"/>
          <w:color w:val="000000"/>
          <w:sz w:val="22"/>
        </w:rPr>
        <w:t>The department will annually conduct a complete financial redetermination of continuing eligibility for the program after consultation with the case manager and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56.7(2)</w:t>
      </w:r>
      <w:r>
        <w:rPr>
          <w:rFonts w:ascii="Times New Roman" w:hAnsi="Times New Roman"/>
          <w:b w:val="false"/>
          <w:i w:val="false"/>
          <w:color w:val="000000"/>
          <w:sz w:val="22"/>
        </w:rPr>
        <w:t> </w:t>
      </w:r>
      <w:r>
        <w:rPr>
          <w:rFonts w:ascii="Times New Roman" w:hAnsi="Times New Roman"/>
          <w:b w:val="false"/>
          <w:i w:val="false"/>
          <w:color w:val="000000"/>
          <w:sz w:val="22"/>
        </w:rPr>
        <w:t>The department will also conduct a redetermination of continuing eligibility when a change in financial or functional circumstances occurs that affects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641—56.8</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individual denied funding under either the waiver-eligible or the cost-share component of the program may appeal pursuant to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5/9/07—published 6/6/07, effective 5/9/07]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[Filed ARC 9705C</w:t>
      </w:r>
      <w:r>
        <w:rPr>
          <w:rFonts w:ascii="Times New Roman" w:hAnsi="Times New Roman"/>
          <w:b w:val="false"/>
          <w:i w:val="false"/>
          <w:color w:val="000000"/>
          <w:sz w:val="21"/>
        </w:rPr>
        <w:t xml:space="preserve"> (Notice ARC 9527C, IAB 9/3/25)</w:t>
      </w:r>
      <w:r>
        <w:rPr>
          <w:rFonts w:ascii="Times New Roman" w:hAnsi="Times New Roman"/>
          <w:b w:val="false"/>
          <w:i w:val="false"/>
          <w:color w:val="000000"/>
          <w:sz w:val="21"/>
        </w:rPr>
        <w:t>, IAB 11/12/25, effective 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22B.pdf" Type="http://schemas.openxmlformats.org/officeDocument/2006/relationships/hyperlink" Id="rId5"/>
    <Relationship TargetMode="External" Target="https://www.legis.iowa.gov/docs/iac/rule/441.86.2.pdf" Type="http://schemas.openxmlformats.org/officeDocument/2006/relationships/hyperlink" Id="rId6"/>
    <Relationship TargetMode="External" Target="https://www.legis.iowa.gov/docs/iac/rule/441.86.2.pdf" Type="http://schemas.openxmlformats.org/officeDocument/2006/relationships/hyperlink" Id="rId7"/>
    <Relationship TargetMode="External" Target="https://www.legis.iowa.gov/docs/ico/chapter/135.22.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co/chapter/135.22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