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CONCUSSION OR OTHER BRAIN INJURY RETURN-TO-PLAY PROTOCOL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12/1/30</w:t>
      </w:r>
    </w:p>
    <w:p>
      <w:pPr>
        <w:spacing w:before="0" w:after="0"/>
        <w:ind w:left="120"/>
        <w:jc w:val="both"/>
      </w:pPr>
      <w:r>
        <w:rPr>
          <w:rFonts w:ascii="Times New Roman" w:hAnsi="Times New Roman"/>
          <w:b/>
          <w:i w:val="false"/>
          <w:color w:val="000000"/>
          <w:sz w:val="22"/>
        </w:rPr>
        <w:t>641—54.1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“Asymptomatic” </w:t>
      </w:r>
      <w:r>
        <w:rPr>
          <w:rFonts w:ascii="Times New Roman" w:hAnsi="Times New Roman"/>
          <w:b w:val="false"/>
          <w:i w:val="false"/>
          <w:color w:val="000000"/>
          <w:sz w:val="22"/>
        </w:rPr>
        <w:t>means the student is no longer showing signs, symptoms, or behaviors consistent with a concussion or other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280.13C(2)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“Extracurricular interscholastic activity”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280.13C(2)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provider”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280.13C(2)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clearance” </w:t>
      </w:r>
      <w:r>
        <w:rPr>
          <w:rFonts w:ascii="Times New Roman" w:hAnsi="Times New Roman"/>
          <w:b w:val="false"/>
          <w:i w:val="false"/>
          <w:color w:val="000000"/>
          <w:sz w:val="22"/>
        </w:rPr>
        <w:t>means written clearance from a licensed health care provider releasing the student following a concussion or other brain injury to return to or commence participation in any extracurricular interscholastic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 </w:t>
      </w:r>
      <w:r>
        <w:rPr>
          <w:rFonts w:ascii="Times New Roman" w:hAnsi="Times New Roman"/>
          <w:b w:val="false"/>
          <w:i w:val="false"/>
          <w:color w:val="000000"/>
          <w:sz w:val="22"/>
        </w:rPr>
        <w:t>means a recovery state at which physical and cognitive activities are reduced or removed with the intent to eliminate the signs, symptoms, or behaviors of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“Return-to-learn plan” </w:t>
      </w:r>
      <w:r>
        <w:rPr>
          <w:rFonts w:ascii="Times New Roman" w:hAnsi="Times New Roman"/>
          <w:b w:val="false"/>
          <w:i w:val="false"/>
          <w:color w:val="000000"/>
          <w:sz w:val="22"/>
        </w:rPr>
        <w:t xml:space="preserve">means the plan developed by personnel of a school district or accredited nonpublic school based on guidance developed as required under Iowa Code section </w:t>
      </w:r>
      <w:hyperlink r:id="rId8">
        <w:r>
          <w:rPr>
            <w:rStyle w:val="Hyperlink"/>
            <w:rFonts w:ascii="Times New Roman" w:hAnsi="Times New Roman"/>
            <w:b w:val="false"/>
            <w:i w:val="false"/>
            <w:color w:val="000000"/>
            <w:sz w:val="22"/>
          </w:rPr>
          <w:t>280.13C(6)</w:t>
        </w:r>
      </w:hyperlink>
      <w:r>
        <w:rPr>
          <w:rFonts w:ascii="Times New Roman" w:hAnsi="Times New Roman"/>
          <w:b w:val="false"/>
          <w:i/>
          <w:color w:val="000000"/>
          <w:sz w:val="22"/>
        </w:rPr>
        <w:t>“b”</w:t>
      </w:r>
      <w:r>
        <w:rPr>
          <w:rFonts w:ascii="Times New Roman" w:hAnsi="Times New Roman"/>
          <w:b w:val="false"/>
          <w:i w:val="false"/>
          <w:color w:val="000000"/>
          <w:sz w:val="22"/>
        </w:rPr>
        <w:t xml:space="preserve"> to provide adjustments or accommodations as the student returns to the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“Return-to-play” </w:t>
      </w:r>
      <w:r>
        <w:rPr>
          <w:rFonts w:ascii="Times New Roman" w:hAnsi="Times New Roman"/>
          <w:b w:val="false"/>
          <w:i w:val="false"/>
          <w:color w:val="000000"/>
          <w:sz w:val="22"/>
        </w:rPr>
        <w:t>means the gradual, step-wise approach to returning a student to participation in any extracurricular interscholastic activity following a concussion or other brain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9618C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641—54.2</w:t>
      </w:r>
      <w:r>
        <w:rPr>
          <w:rFonts w:ascii="Times New Roman" w:hAnsi="Times New Roman"/>
          <w:b/>
          <w:i w:val="false"/>
          <w:color w:val="000000"/>
          <w:sz w:val="22"/>
        </w:rPr>
        <w:t xml:space="preserve">(280) </w:t>
      </w:r>
      <w:r>
        <w:rPr>
          <w:rFonts w:ascii="Times New Roman" w:hAnsi="Times New Roman"/>
          <w:b/>
          <w:i w:val="false"/>
          <w:color w:val="000000"/>
          <w:sz w:val="22"/>
        </w:rPr>
        <w:t xml:space="preserve">Return-to-play protocol. </w:t>
      </w:r>
      <w:r>
        <w:rPr>
          <w:rFonts w:ascii="Times New Roman" w:hAnsi="Times New Roman"/>
          <w:b w:val="false"/>
          <w:i w:val="false"/>
          <w:color w:val="000000"/>
          <w:sz w:val="22"/>
        </w:rPr>
        <w:t>The return-to-play protocol will be developed by the Iowa high school athletic association and Iowa girls high school athletic union and be disseminated to Iowa public schools and accredited nonpublic schools. The protocol will be based on current evidence-based practice and will include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54.2(1)</w:t>
      </w:r>
      <w:r>
        <w:rPr>
          <w:rFonts w:ascii="Times New Roman" w:hAnsi="Times New Roman"/>
          <w:b w:val="false"/>
          <w:i w:val="false"/>
          <w:color w:val="000000"/>
          <w:sz w:val="22"/>
        </w:rPr>
        <w:t> </w:t>
      </w:r>
      <w:r>
        <w:rPr>
          <w:rFonts w:ascii="Times New Roman" w:hAnsi="Times New Roman"/>
          <w:b w:val="false"/>
          <w:i/>
          <w:color w:val="000000"/>
          <w:sz w:val="22"/>
        </w:rPr>
        <w:t xml:space="preserve">Return-to-play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student will return to contest or practice the same day as a suspected concussion or other brain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suspected of having a concussion will be evaluated by a licensed health care provider trained in the evaluation and management of concussion and other brain injuries as soon as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has been removed from participation will receive written medical clearance prior to starting the return-to-play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return-to-play steps shall be conducted under the guidance of a licensed health care provider following current best practice and as set forth by the Iowa high school athletic association and Iowa girls high school athletic union, with provision for delayed return-to-play steps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Return-to-play may begin when the student is still symptomatic, after a brief period of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contact- or collision-related activities will be performed as part of the return-to-play steps until the student has written medical clearance from a licensed health care provider and has returned to pre-injury academic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9618C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280.13C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4193C</w:t>
      </w:r>
      <w:r>
        <w:rPr>
          <w:rFonts w:ascii="Times New Roman" w:hAnsi="Times New Roman"/>
          <w:b w:val="false"/>
          <w:i w:val="false"/>
          <w:color w:val="000000"/>
          <w:sz w:val="21"/>
        </w:rPr>
        <w:t xml:space="preserve"> (Notice ARC 4034C,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9618C</w:t>
      </w:r>
      <w:r>
        <w:rPr>
          <w:rFonts w:ascii="Times New Roman" w:hAnsi="Times New Roman"/>
          <w:b w:val="false"/>
          <w:i w:val="false"/>
          <w:color w:val="000000"/>
          <w:sz w:val="21"/>
        </w:rPr>
        <w:t xml:space="preserve"> (Notice ARC 9490C, IAB 8/20/25)</w:t>
      </w:r>
      <w:r>
        <w:rPr>
          <w:rFonts w:ascii="Times New Roman" w:hAnsi="Times New Roman"/>
          <w:b w:val="false"/>
          <w:i w:val="false"/>
          <w:color w:val="000000"/>
          <w:sz w:val="21"/>
        </w:rPr>
        <w:t>, IAB 10/15/25, effective 12/1/25]</w:t>
      </w:r>
    </w:p>
    <w:sectPr>
      <w:footerReference r:id="rId10"/>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C.pdf" Type="http://schemas.openxmlformats.org/officeDocument/2006/relationships/hyperlink" Id="rId5"/>
    <Relationship TargetMode="External" Target="https://www.legis.iowa.gov/docs/ico/chapter/280.13C.pdf" Type="http://schemas.openxmlformats.org/officeDocument/2006/relationships/hyperlink" Id="rId6"/>
    <Relationship TargetMode="External" Target="https://www.legis.iowa.gov/docs/ico/chapter/280.13C.pdf" Type="http://schemas.openxmlformats.org/officeDocument/2006/relationships/hyperlink" Id="rId7"/>
    <Relationship TargetMode="External" Target="https://www.legis.iowa.gov/docs/ico/chapter/280.13C.pdf" Type="http://schemas.openxmlformats.org/officeDocument/2006/relationships/hyperlink" Id="rId8"/>
    <Relationship TargetMode="External" Target="https://www.legis.iowa.gov/docs/ico/chapter/280.13C.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