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REGISTRATION AND SAFETY REQUIREMENTS FOR RADIOACTIVE MATERIALS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641—39.1</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 xml:space="preserve">This rule establishes the requirements for licensees or registrants regarding the possession, use, storage, and transfer of radioactive materials in Iowa as an agreement state. The provisions of this chapter are in addition to, and not in substitution for, any other applicable portions of 641—Chapters </w:t>
      </w:r>
      <w:hyperlink r:id="rId5">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38</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641—39.2</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10 CFR Parts 19, 20, 30, 31, 32, 33, 34, 35, 36, 37, 39, 40, 70, 71, and 150 as amended to August 1, 2025, and adopted by reference, apply to the provisions of this chapter. The definitions provided in 641—Chapters </w:t>
      </w:r>
      <w:hyperlink r:id="rId9">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38</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may also apply. Additionally, the definitions set forth below are specific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“Agreement state”</w:t>
      </w:r>
      <w:r>
        <w:rPr>
          <w:rFonts w:ascii="Times New Roman" w:hAnsi="Times New Roman"/>
          <w:b w:val="false"/>
          <w:i w:val="false"/>
          <w:color w:val="000000"/>
          <w:sz w:val="22"/>
        </w:rPr>
        <w:t> </w:t>
      </w:r>
      <w:r>
        <w:rPr>
          <w:rFonts w:ascii="Times New Roman" w:hAnsi="Times New Roman"/>
          <w:b w:val="false"/>
          <w:i w:val="false"/>
          <w:color w:val="000000"/>
          <w:sz w:val="22"/>
        </w:rPr>
        <w:t>means any state with which the U.S. Nuclear Regulatory Commission or the U.S. Atomic Energy Commission has entered into an effective agreement under Subsection 274b of the Atomic Energy Act of 1954 as amended to August 1, 2025 (73 Stat. 689). The state of Iowa is an agreement state as of January 1,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“ANSI”</w:t>
      </w:r>
      <w:r>
        <w:rPr>
          <w:rFonts w:ascii="Times New Roman" w:hAnsi="Times New Roman"/>
          <w:b w:val="false"/>
          <w:i w:val="false"/>
          <w:color w:val="000000"/>
          <w:sz w:val="22"/>
        </w:rPr>
        <w:t> </w:t>
      </w:r>
      <w:r>
        <w:rPr>
          <w:rFonts w:ascii="Times New Roman" w:hAnsi="Times New Roman"/>
          <w:b w:val="false"/>
          <w:i w:val="false"/>
          <w:color w:val="000000"/>
          <w:sz w:val="22"/>
        </w:rPr>
        <w:t>means 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“Cabinet X-ray system”</w:t>
      </w:r>
      <w:r>
        <w:rPr>
          <w:rFonts w:ascii="Times New Roman" w:hAnsi="Times New Roman"/>
          <w:b w:val="false"/>
          <w:i w:val="false"/>
          <w:color w:val="000000"/>
          <w:sz w:val="22"/>
        </w:rPr>
        <w:t> </w:t>
      </w:r>
      <w:r>
        <w:rPr>
          <w:rFonts w:ascii="Times New Roman" w:hAnsi="Times New Roman"/>
          <w:b w:val="false"/>
          <w:i w:val="false"/>
          <w:color w:val="000000"/>
          <w:sz w:val="22"/>
        </w:rPr>
        <w:t>means an X-ray system with the X-ray tube installed in an enclosure independent of existing architectural structures, except the floor upon which it may be placed. The cabinet X-ray system is intended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Contain at least that portion of a material being irradiated;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radiation attenuation;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Exclude personnel from its interior during generation of radiation. Included are all X-ray systems designed primarily for the inspection of carry-on baggage at airline, railroad, and bus terminals and in similar facilities. An X-ray tube used within a shielded part of a building, or X-ray equipment that may temporarily or occasionally incorporate portable shielding, is not considered a cabinet X-ray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“Certifiable cabinet X-ray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existing uncertified X-ray system that has been modified to meet certification requirements specified in </w:t>
      </w:r>
      <w:r>
        <w:rPr>
          <w:rFonts w:ascii="Times New Roman" w:hAnsi="Times New Roman"/>
          <w:b w:val="false"/>
          <w:i w:val="false"/>
          <w:color w:val="000000"/>
          <w:sz w:val="22"/>
        </w:rPr>
        <w:t>21 CFR 1020.40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cabinet X-ray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X-ray system that has been certified in accordance with </w:t>
      </w:r>
      <w:r>
        <w:rPr>
          <w:rFonts w:ascii="Times New Roman" w:hAnsi="Times New Roman"/>
          <w:b w:val="false"/>
          <w:i w:val="false"/>
          <w:color w:val="000000"/>
          <w:sz w:val="22"/>
        </w:rPr>
        <w:t>21 CFR 1010.2</w:t>
      </w:r>
      <w:r>
        <w:rPr>
          <w:rFonts w:ascii="Times New Roman" w:hAnsi="Times New Roman"/>
          <w:b w:val="false"/>
          <w:i w:val="false"/>
          <w:color w:val="000000"/>
          <w:sz w:val="22"/>
        </w:rPr>
        <w:t xml:space="preserve"> as being manufactured and assembled pursuant to the provisions of </w:t>
      </w:r>
      <w:r>
        <w:rPr>
          <w:rFonts w:ascii="Times New Roman" w:hAnsi="Times New Roman"/>
          <w:b w:val="false"/>
          <w:i w:val="false"/>
          <w:color w:val="000000"/>
          <w:sz w:val="22"/>
        </w:rPr>
        <w:t>21 CFR 1020.40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“Certifying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independent certifying organization meeting the requirements of  Appendix A in </w:t>
      </w:r>
      <w:r>
        <w:rPr>
          <w:rFonts w:ascii="Times New Roman" w:hAnsi="Times New Roman"/>
          <w:b w:val="false"/>
          <w:i w:val="false"/>
          <w:color w:val="000000"/>
          <w:sz w:val="22"/>
        </w:rPr>
        <w:t>10 CFR Part 34</w:t>
      </w:r>
      <w:r>
        <w:rPr>
          <w:rFonts w:ascii="Times New Roman" w:hAnsi="Times New Roman"/>
          <w:b w:val="false"/>
          <w:i w:val="false"/>
          <w:color w:val="000000"/>
          <w:sz w:val="22"/>
        </w:rPr>
        <w:t xml:space="preserve"> or an agreement state meeting the requirements in Appendix A, Parts II and III, of </w:t>
      </w:r>
      <w:r>
        <w:rPr>
          <w:rFonts w:ascii="Times New Roman" w:hAnsi="Times New Roman"/>
          <w:b w:val="false"/>
          <w:i w:val="false"/>
          <w:color w:val="000000"/>
          <w:sz w:val="22"/>
        </w:rPr>
        <w:t>10 CFR Part 34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“Collimator”</w:t>
      </w:r>
      <w:r>
        <w:rPr>
          <w:rFonts w:ascii="Times New Roman" w:hAnsi="Times New Roman"/>
          <w:b w:val="false"/>
          <w:i w:val="false"/>
          <w:color w:val="000000"/>
          <w:sz w:val="22"/>
        </w:rPr>
        <w:t> </w:t>
      </w:r>
      <w:r>
        <w:rPr>
          <w:rFonts w:ascii="Times New Roman" w:hAnsi="Times New Roman"/>
          <w:b w:val="false"/>
          <w:i w:val="false"/>
          <w:color w:val="000000"/>
          <w:sz w:val="22"/>
        </w:rPr>
        <w:t>means a small radiation shield of lead or other heavy metal that is placed on the end of a guide tube or directly onto a radiographic exposure device to restrict the size of the radiation beam when the sealed source is cranked into position to make a radiographic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“NRC”</w:t>
      </w:r>
      <w:r>
        <w:rPr>
          <w:rFonts w:ascii="Times New Roman" w:hAnsi="Times New Roman"/>
          <w:b w:val="false"/>
          <w:i w:val="false"/>
          <w:color w:val="000000"/>
          <w:sz w:val="22"/>
        </w:rPr>
        <w:t> </w:t>
      </w:r>
      <w:r>
        <w:rPr>
          <w:rFonts w:ascii="Times New Roman" w:hAnsi="Times New Roman"/>
          <w:b w:val="false"/>
          <w:i w:val="false"/>
          <w:color w:val="000000"/>
          <w:sz w:val="22"/>
        </w:rPr>
        <w:t>means the Nuclear Regulatory Commission or its duly authorized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clinical procedures manual”</w:t>
      </w:r>
      <w:r>
        <w:rPr>
          <w:rFonts w:ascii="Times New Roman" w:hAnsi="Times New Roman"/>
          <w:b w:val="false"/>
          <w:i w:val="false"/>
          <w:color w:val="000000"/>
          <w:sz w:val="22"/>
        </w:rPr>
        <w:t> </w:t>
      </w:r>
      <w:r>
        <w:rPr>
          <w:rFonts w:ascii="Times New Roman" w:hAnsi="Times New Roman"/>
          <w:b w:val="false"/>
          <w:i w:val="false"/>
          <w:color w:val="000000"/>
          <w:sz w:val="22"/>
        </w:rPr>
        <w:t>means a collection of written procedures that describes each method (and other instructions and precautions) by which the licensee performs diagnostic clinical procedures; describes where each diagnostic clinical procedure has been approved by the authorized user; and includes the radiopharmaceutical, dosage, and route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“Enclosed radiography”</w:t>
      </w:r>
      <w:r>
        <w:rPr>
          <w:rFonts w:ascii="Times New Roman" w:hAnsi="Times New Roman"/>
          <w:b w:val="false"/>
          <w:i w:val="false"/>
          <w:color w:val="000000"/>
          <w:sz w:val="22"/>
        </w:rPr>
        <w:t> </w:t>
      </w:r>
      <w:r>
        <w:rPr>
          <w:rFonts w:ascii="Times New Roman" w:hAnsi="Times New Roman"/>
          <w:b w:val="false"/>
          <w:i w:val="false"/>
          <w:color w:val="000000"/>
          <w:sz w:val="22"/>
        </w:rPr>
        <w:t>means industrial radiography conducted in an enclosed cabinet or room and includes cabinet radiography and shielded-room radiography.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“Field station”</w:t>
      </w:r>
      <w:r>
        <w:rPr>
          <w:rFonts w:ascii="Times New Roman" w:hAnsi="Times New Roman"/>
          <w:b w:val="false"/>
          <w:i w:val="false"/>
          <w:color w:val="000000"/>
          <w:sz w:val="22"/>
        </w:rPr>
        <w:t> </w:t>
      </w:r>
      <w:r>
        <w:rPr>
          <w:rFonts w:ascii="Times New Roman" w:hAnsi="Times New Roman"/>
          <w:b w:val="false"/>
          <w:i w:val="false"/>
          <w:color w:val="000000"/>
          <w:sz w:val="22"/>
        </w:rPr>
        <w:t>means a facility where registered radiation machines may be stored or used and from which equipment is dispatched.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“GED”</w:t>
      </w:r>
      <w:r>
        <w:rPr>
          <w:rFonts w:ascii="Times New Roman" w:hAnsi="Times New Roman"/>
          <w:b w:val="false"/>
          <w:i w:val="false"/>
          <w:color w:val="000000"/>
          <w:sz w:val="22"/>
        </w:rPr>
        <w:t> </w:t>
      </w:r>
      <w:r>
        <w:rPr>
          <w:rFonts w:ascii="Times New Roman" w:hAnsi="Times New Roman"/>
          <w:b w:val="false"/>
          <w:i w:val="false"/>
          <w:color w:val="000000"/>
          <w:sz w:val="22"/>
        </w:rPr>
        <w:t>means general educational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HHS”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department of health and human services. For purposes of this chapter, this definition applies unless otherwise specified.  For any CFR provisions incorporated by reference in this chapter that use the term “department,” the definition provided in </w:t>
      </w:r>
      <w:r>
        <w:rPr>
          <w:rFonts w:ascii="Times New Roman" w:hAnsi="Times New Roman"/>
          <w:b w:val="false"/>
          <w:i w:val="false"/>
          <w:color w:val="000000"/>
          <w:sz w:val="22"/>
        </w:rPr>
        <w:t>10 CFR 50.2</w:t>
      </w:r>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“Major processor”</w:t>
      </w:r>
      <w:r>
        <w:rPr>
          <w:rFonts w:ascii="Times New Roman" w:hAnsi="Times New Roman"/>
          <w:b w:val="false"/>
          <w:i w:val="false"/>
          <w:color w:val="000000"/>
          <w:sz w:val="22"/>
        </w:rPr>
        <w:t> </w:t>
      </w:r>
      <w:r>
        <w:rPr>
          <w:rFonts w:ascii="Times New Roman" w:hAnsi="Times New Roman"/>
          <w:b w:val="false"/>
          <w:i w:val="false"/>
          <w:color w:val="000000"/>
          <w:sz w:val="22"/>
        </w:rPr>
        <w:t>means a user processing, handling, or manufacturing radioactive material exceeding Type A quantities as unsealed sources or material, or exceeding four times Type B quantities as sealed sources, but does not include nuclear medicine programs, universities, industrial radiographers, or small industrial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“Minimal threat”</w:t>
      </w:r>
      <w:r>
        <w:rPr>
          <w:rFonts w:ascii="Times New Roman" w:hAnsi="Times New Roman"/>
          <w:b w:val="false"/>
          <w:i w:val="false"/>
          <w:color w:val="000000"/>
          <w:sz w:val="22"/>
        </w:rPr>
        <w:t> </w:t>
      </w:r>
      <w:r>
        <w:rPr>
          <w:rFonts w:ascii="Times New Roman" w:hAnsi="Times New Roman"/>
          <w:b w:val="false"/>
          <w:i w:val="false"/>
          <w:color w:val="000000"/>
          <w:sz w:val="22"/>
        </w:rPr>
        <w:t>means that during the operations of electronic devices capable of generating or emitting fields of radiation: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 deliberate exposure of an individual occurs;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radiation is not emitted in an open beam configuration;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 known physical injury to an individual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radiographic installation”</w:t>
      </w:r>
      <w:r>
        <w:rPr>
          <w:rFonts w:ascii="Times New Roman" w:hAnsi="Times New Roman"/>
          <w:b w:val="false"/>
          <w:i w:val="false"/>
          <w:color w:val="000000"/>
          <w:sz w:val="22"/>
        </w:rPr>
        <w:t> </w:t>
      </w:r>
      <w:r>
        <w:rPr>
          <w:rFonts w:ascii="Times New Roman" w:hAnsi="Times New Roman"/>
          <w:b w:val="false"/>
          <w:i w:val="false"/>
          <w:color w:val="000000"/>
          <w:sz w:val="22"/>
        </w:rPr>
        <w:t>means an enclosed shielded room, cell, or vault, not located at a temporary job site, in which radiography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safety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named by the registrant who has a knowledge of, responsibility for, and authority to enforce appropriate radiation protection rules, standards, and practices on behalf of the licensee or registrant and who meets the requirements of </w:t>
      </w:r>
      <w:hyperlink r:id="rId13">
        <w:r>
          <w:rPr>
            <w:rStyle w:val="Hyperlink"/>
            <w:rFonts w:ascii="Times New Roman" w:hAnsi="Times New Roman"/>
            <w:b w:val="false"/>
            <w:i w:val="false"/>
            <w:color w:val="000000"/>
            <w:sz w:val="22"/>
          </w:rPr>
          <w:t>subparagraph 39.10(2)</w:t>
        </w:r>
      </w:hyperlink>
      <w:r>
        <w:rPr>
          <w:rFonts w:ascii="Times New Roman" w:hAnsi="Times New Roman"/>
          <w:b w:val="false"/>
          <w:i/>
          <w:color w:val="000000"/>
          <w:sz w:val="22"/>
        </w:rPr>
        <w:t>“g”</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“Radiographer”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individual who has successfully completed the training, testing, and documentation requirements of subparagraph </w:t>
      </w:r>
      <w:hyperlink r:id="rId14">
        <w:r>
          <w:rPr>
            <w:rStyle w:val="Hyperlink"/>
            <w:rFonts w:ascii="Times New Roman" w:hAnsi="Times New Roman"/>
            <w:b w:val="false"/>
            <w:i w:val="false"/>
            <w:color w:val="000000"/>
            <w:sz w:val="22"/>
          </w:rPr>
          <w:t>39.10(2)</w:t>
        </w:r>
      </w:hyperlink>
      <w:r>
        <w:rPr>
          <w:rFonts w:ascii="Times New Roman" w:hAnsi="Times New Roman"/>
          <w:b w:val="false"/>
          <w:i/>
          <w:color w:val="000000"/>
          <w:sz w:val="22"/>
        </w:rPr>
        <w:t>“g”</w:t>
      </w:r>
      <w:r>
        <w:rPr>
          <w:rFonts w:ascii="Times New Roman" w:hAnsi="Times New Roman"/>
          <w:b w:val="false"/>
          <w:i w:val="false"/>
          <w:color w:val="000000"/>
          <w:sz w:val="22"/>
        </w:rPr>
        <w:t>(2), who performs or personally supervises industrial radiographic operations, and who is responsible to the registrant for ensuring compliance with the requirement of these rules and all license and certificate of registration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“Radiographer certification”</w:t>
      </w:r>
      <w:r>
        <w:rPr>
          <w:rFonts w:ascii="Times New Roman" w:hAnsi="Times New Roman"/>
          <w:b w:val="false"/>
          <w:i w:val="false"/>
          <w:color w:val="000000"/>
          <w:sz w:val="22"/>
        </w:rPr>
        <w:t> </w:t>
      </w:r>
      <w:r>
        <w:rPr>
          <w:rFonts w:ascii="Times New Roman" w:hAnsi="Times New Roman"/>
          <w:b w:val="false"/>
          <w:i w:val="false"/>
          <w:color w:val="000000"/>
          <w:sz w:val="22"/>
        </w:rPr>
        <w:t>means written approval received from a certifying entity stating that an individual has satisfactorily met certain established radiation safety, testing, and experience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“Radiographer’s assistant”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individual who has successfully completed the training, testing, and documentation requirements of </w:t>
      </w:r>
      <w:hyperlink r:id="rId15">
        <w:r>
          <w:rPr>
            <w:rStyle w:val="Hyperlink"/>
            <w:rFonts w:ascii="Times New Roman" w:hAnsi="Times New Roman"/>
            <w:b w:val="false"/>
            <w:i w:val="false"/>
            <w:color w:val="000000"/>
            <w:sz w:val="22"/>
          </w:rPr>
          <w:t>subparagraph 39.10(2)</w:t>
        </w:r>
        <w:r>
          <w:rPr>
            <w:rFonts w:ascii="Times New Roman" w:hAnsi="Times New Roman"/>
            <w:b w:val="false"/>
            <w:i/>
            <w:color w:val="000000"/>
            <w:sz w:val="22"/>
          </w:rPr>
          <w:t>“g”</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who uses sources of radiation and related handling tools or radiation survey instruments under the direct supervision of a radiographer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“Radiographer trainer”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“instructor”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individual who instructs and supervises radiographer’s assistants during on-the-job training and who meets the requirements of subparagraph </w:t>
      </w:r>
      <w:hyperlink r:id="rId16">
        <w:r>
          <w:rPr>
            <w:rStyle w:val="Hyperlink"/>
            <w:rFonts w:ascii="Times New Roman" w:hAnsi="Times New Roman"/>
            <w:b w:val="false"/>
            <w:i w:val="false"/>
            <w:color w:val="000000"/>
            <w:sz w:val="22"/>
          </w:rPr>
          <w:t>39.10(2)</w:t>
        </w:r>
      </w:hyperlink>
      <w:r>
        <w:rPr>
          <w:rFonts w:ascii="Times New Roman" w:hAnsi="Times New Roman"/>
          <w:b w:val="false"/>
          <w:i/>
          <w:color w:val="000000"/>
          <w:sz w:val="22"/>
        </w:rPr>
        <w:t>“g”</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“Radiographic personnel”</w:t>
      </w:r>
      <w:r>
        <w:rPr>
          <w:rFonts w:ascii="Times New Roman" w:hAnsi="Times New Roman"/>
          <w:b w:val="false"/>
          <w:i w:val="false"/>
          <w:color w:val="000000"/>
          <w:sz w:val="22"/>
        </w:rPr>
        <w:t> </w:t>
      </w:r>
      <w:r>
        <w:rPr>
          <w:rFonts w:ascii="Times New Roman" w:hAnsi="Times New Roman"/>
          <w:b w:val="false"/>
          <w:i w:val="false"/>
          <w:color w:val="000000"/>
          <w:sz w:val="22"/>
        </w:rPr>
        <w:t>means any radiographer or radiographer’s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“RAM”</w:t>
      </w:r>
      <w:r>
        <w:rPr>
          <w:rFonts w:ascii="Times New Roman" w:hAnsi="Times New Roman"/>
          <w:b w:val="false"/>
          <w:i w:val="false"/>
          <w:color w:val="000000"/>
          <w:sz w:val="22"/>
        </w:rPr>
        <w:t> </w:t>
      </w:r>
      <w:r>
        <w:rPr>
          <w:rFonts w:ascii="Times New Roman" w:hAnsi="Times New Roman"/>
          <w:b w:val="false"/>
          <w:i w:val="false"/>
          <w:color w:val="000000"/>
          <w:sz w:val="22"/>
        </w:rPr>
        <w:t>means 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location”</w:t>
      </w:r>
      <w:r>
        <w:rPr>
          <w:rFonts w:ascii="Times New Roman" w:hAnsi="Times New Roman"/>
          <w:b w:val="false"/>
          <w:i w:val="false"/>
          <w:color w:val="000000"/>
          <w:sz w:val="22"/>
        </w:rPr>
        <w:t> </w:t>
      </w:r>
      <w:r>
        <w:rPr>
          <w:rFonts w:ascii="Times New Roman" w:hAnsi="Times New Roman"/>
          <w:b w:val="false"/>
          <w:i w:val="false"/>
          <w:color w:val="000000"/>
          <w:sz w:val="22"/>
        </w:rPr>
        <w:t>means any area where structures in which people lodge or live are located, and the grounds on which such structures are located, including but not limited to houses, apartments, condominiums, and garages.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“Shielded-room radiography”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industrial radiography conducted in a room shielded so that radiation levels at every location on the exterior meet the limitations specified in </w:t>
      </w:r>
      <w:hyperlink r:id="rId17">
        <w:r>
          <w:rPr>
            <w:rStyle w:val="Hyperlink"/>
            <w:rFonts w:ascii="Times New Roman" w:hAnsi="Times New Roman"/>
            <w:b w:val="false"/>
            <w:i w:val="false"/>
            <w:color w:val="000000"/>
            <w:sz w:val="22"/>
          </w:rPr>
          <w:t>641—subrule 37.11(11)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job site”</w:t>
      </w:r>
      <w:r>
        <w:rPr>
          <w:rFonts w:ascii="Times New Roman" w:hAnsi="Times New Roman"/>
          <w:b w:val="false"/>
          <w:i w:val="false"/>
          <w:color w:val="000000"/>
          <w:sz w:val="22"/>
        </w:rPr>
        <w:t> </w:t>
      </w:r>
      <w:r>
        <w:rPr>
          <w:rFonts w:ascii="Times New Roman" w:hAnsi="Times New Roman"/>
          <w:b w:val="false"/>
          <w:i w:val="false"/>
          <w:color w:val="000000"/>
          <w:sz w:val="22"/>
        </w:rPr>
        <w:t>means any location where radiographic operations are conducted and may be stored other than the location(s) listed in a certificate of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641—39.3</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regulatory requirements for incorporating CFR by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39.3(1)</w:t>
      </w:r>
      <w:r>
        <w:rPr>
          <w:rFonts w:ascii="Times New Roman" w:hAnsi="Times New Roman"/>
          <w:b w:val="false"/>
          <w:i w:val="false"/>
          <w:color w:val="000000"/>
          <w:sz w:val="22"/>
        </w:rPr>
        <w:t> </w:t>
      </w:r>
      <w:r>
        <w:rPr>
          <w:rFonts w:ascii="Times New Roman" w:hAnsi="Times New Roman"/>
          <w:b w:val="false"/>
          <w:i w:val="false"/>
          <w:color w:val="000000"/>
          <w:sz w:val="22"/>
        </w:rPr>
        <w:t>Congress authorized the NRC in Section 274b of the Atomic Energy Act to enter into agreements that allow states to assume, and the NRC to discontinue, regulatory authority over byproduct, source, and small quantities of special nuclear material. The state can then regulate byproduct, source, and small quantities of special nuclear materials that are covered in the agreement, using its own legislation, regulations, or other legally binding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39.3(2)</w:t>
      </w:r>
      <w:r>
        <w:rPr>
          <w:rFonts w:ascii="Times New Roman" w:hAnsi="Times New Roman"/>
          <w:b w:val="false"/>
          <w:i w:val="false"/>
          <w:color w:val="000000"/>
          <w:sz w:val="22"/>
        </w:rPr>
        <w:t> </w:t>
      </w:r>
      <w:r>
        <w:rPr>
          <w:rFonts w:ascii="Times New Roman" w:hAnsi="Times New Roman"/>
          <w:b w:val="false"/>
          <w:i w:val="false"/>
          <w:color w:val="000000"/>
          <w:sz w:val="22"/>
        </w:rPr>
        <w:t>The Commission will enter into an agreement if the Commission finds the state program adequate to protect public health and safety and compatible with the NRC’s regulatory program. The NRC ensures that an agreement state program remains adequate and compatible through periodic review and assessment under the Integrated Materials Performance Evaluation Program (IMPEP) as amended to August 1, 2025. The state of Iowa is an agreement state as of January 1, 1986.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39.3(3)</w:t>
      </w:r>
      <w:r>
        <w:rPr>
          <w:rFonts w:ascii="Times New Roman" w:hAnsi="Times New Roman"/>
          <w:b w:val="false"/>
          <w:i w:val="false"/>
          <w:color w:val="000000"/>
          <w:sz w:val="22"/>
        </w:rPr>
        <w:t> </w:t>
      </w:r>
      <w:r>
        <w:rPr>
          <w:rFonts w:ascii="Times New Roman" w:hAnsi="Times New Roman"/>
          <w:b w:val="false"/>
          <w:i w:val="false"/>
          <w:color w:val="000000"/>
          <w:sz w:val="22"/>
        </w:rPr>
        <w:t>As an agreement state, the requirements of 10 CFR Parts 19, 20, 30, 32, 33, 34, 35, 36, 37, 39, 40, 70, and 71 as amended to August 1, 2025, are hereby adopted by reference, as specified in the corresponding subrules of this chapter, unless specifically exempted. Where Iowa HHS forms are required, as specified in this chapter, such forms shall be submitted to Iowa HHS. A copy of 10 CFR is available at no charge from the NRC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39.3(4)</w:t>
      </w:r>
      <w:r>
        <w:rPr>
          <w:rFonts w:ascii="Times New Roman" w:hAnsi="Times New Roman"/>
          <w:b w:val="false"/>
          <w:i w:val="false"/>
          <w:color w:val="000000"/>
          <w:sz w:val="22"/>
        </w:rPr>
        <w:t> </w:t>
      </w:r>
      <w:r>
        <w:rPr>
          <w:rFonts w:ascii="Times New Roman" w:hAnsi="Times New Roman"/>
          <w:b w:val="false"/>
          <w:i w:val="false"/>
          <w:color w:val="000000"/>
          <w:sz w:val="22"/>
        </w:rPr>
        <w:t xml:space="preserve">All Iowa RAM facilities and personnel shall comply with the applicable provisions of this chapter; the related portions of 641—Chapters </w:t>
      </w:r>
      <w:hyperlink r:id="rId18">
        <w:r>
          <w:rPr>
            <w:rStyle w:val="Hyperlink"/>
            <w:rFonts w:ascii="Times New Roman" w:hAnsi="Times New Roman"/>
            <w:b w:val="false"/>
            <w:i w:val="false"/>
            <w:color w:val="000000"/>
            <w:sz w:val="22"/>
          </w:rPr>
          <w:t>37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and the referenced 10 CFR parts. All CFR references in this chapter are as amended to August 1, 2025. Where differences exist, compliance with the most stringent applicable standard, whether CFR regulations or Iowa Administrative Code,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641—39.4</w:t>
      </w:r>
      <w:r>
        <w:rPr>
          <w:rFonts w:ascii="Times New Roman" w:hAnsi="Times New Roman"/>
          <w:b/>
          <w:i w:val="false"/>
          <w:color w:val="000000"/>
          <w:sz w:val="22"/>
        </w:rPr>
        <w:t xml:space="preserve">(136C) </w:t>
      </w:r>
      <w:r>
        <w:rPr>
          <w:rFonts w:ascii="Times New Roman" w:hAnsi="Times New Roman"/>
          <w:b/>
          <w:i w:val="false"/>
          <w:color w:val="000000"/>
          <w:sz w:val="22"/>
        </w:rPr>
        <w:t xml:space="preserve">Notices, instructions and reports to workers: inspection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as defined in rule </w:t>
      </w:r>
      <w:hyperlink r:id="rId22">
        <w:r>
          <w:rPr>
            <w:rStyle w:val="Hyperlink"/>
            <w:rFonts w:ascii="Times New Roman" w:hAnsi="Times New Roman"/>
            <w:b w:val="false"/>
            <w:i w:val="false"/>
            <w:color w:val="000000"/>
            <w:sz w:val="22"/>
          </w:rPr>
          <w:t>641—37.2</w:t>
        </w:r>
      </w:hyperlink>
      <w:r>
        <w:rPr>
          <w:rFonts w:ascii="Times New Roman" w:hAnsi="Times New Roman"/>
          <w:b w:val="false"/>
          <w:i w:val="false"/>
          <w:color w:val="000000"/>
          <w:sz w:val="22"/>
        </w:rPr>
        <w:t xml:space="preserve">(136C) shall comply with the requirements of </w:t>
      </w:r>
      <w:r>
        <w:rPr>
          <w:rFonts w:ascii="Times New Roman" w:hAnsi="Times New Roman"/>
          <w:b w:val="false"/>
          <w:i w:val="false"/>
          <w:color w:val="000000"/>
          <w:sz w:val="22"/>
        </w:rPr>
        <w:t>10 CFR Part 19</w:t>
      </w:r>
      <w:r>
        <w:rPr>
          <w:rFonts w:ascii="Times New Roman" w:hAnsi="Times New Roman"/>
          <w:b w:val="false"/>
          <w:i w:val="false"/>
          <w:color w:val="000000"/>
          <w:sz w:val="22"/>
        </w:rPr>
        <w:t>, “Notices, Instructions and Reports to Workers; Inspection and Investigations,” except where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19</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19.1</w:t>
      </w:r>
      <w:r>
        <w:rPr>
          <w:rFonts w:ascii="Times New Roman" w:hAnsi="Times New Roman"/>
          <w:b w:val="false"/>
          <w:i w:val="false"/>
          <w:color w:val="000000"/>
          <w:sz w:val="22"/>
        </w:rPr>
        <w:t>, 19.2(a)(2) through (4), 19.2(b), 19.4, 19.5, 19.8, 19.11(b)(e), 19.14(a), 19.17, 19.18, 19.20, 19.30, 19.32, and 19.40.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19.3</w:t>
      </w:r>
      <w:r>
        <w:rPr>
          <w:rFonts w:ascii="Times New Roman" w:hAnsi="Times New Roman"/>
          <w:b w:val="false"/>
          <w:i w:val="false"/>
          <w:color w:val="000000"/>
          <w:sz w:val="22"/>
        </w:rPr>
        <w:t>, 19.11(f), and 19.14,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19.3</w:t>
      </w:r>
      <w:r>
        <w:rPr>
          <w:rFonts w:ascii="Times New Roman" w:hAnsi="Times New Roman"/>
          <w:b w:val="false"/>
          <w:i w:val="false"/>
          <w:color w:val="000000"/>
          <w:sz w:val="22"/>
        </w:rPr>
        <w:t xml:space="preserve"> (definition of “worker”), 19.11(g), 19.12, 19.13, 19.14, 19.15, and 19.16,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“Nuclear Regulatory Commission” appear in </w:t>
      </w:r>
      <w:r>
        <w:rPr>
          <w:rFonts w:ascii="Times New Roman" w:hAnsi="Times New Roman"/>
          <w:b w:val="false"/>
          <w:i w:val="false"/>
          <w:color w:val="000000"/>
          <w:sz w:val="22"/>
        </w:rPr>
        <w:t>10 CFR 19.13(a)</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“Administrator of the appropriate Commission Regional Office” appear in </w:t>
      </w:r>
      <w:r>
        <w:rPr>
          <w:rFonts w:ascii="Times New Roman" w:hAnsi="Times New Roman"/>
          <w:b w:val="false"/>
          <w:i w:val="false"/>
          <w:color w:val="000000"/>
          <w:sz w:val="22"/>
        </w:rPr>
        <w:t>10 CFR 19.16(a)</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“Regional Office Administrator” appear in </w:t>
      </w:r>
      <w:r>
        <w:rPr>
          <w:rFonts w:ascii="Times New Roman" w:hAnsi="Times New Roman"/>
          <w:b w:val="false"/>
          <w:i w:val="false"/>
          <w:color w:val="000000"/>
          <w:sz w:val="22"/>
        </w:rPr>
        <w:t>10 CFR 19.16(a)</w:t>
      </w:r>
      <w:r>
        <w:rPr>
          <w:rFonts w:ascii="Times New Roman" w:hAnsi="Times New Roman"/>
          <w:b w:val="false"/>
          <w:i w:val="false"/>
          <w:color w:val="000000"/>
          <w:sz w:val="22"/>
        </w:rPr>
        <w:t xml:space="preserve"> and (b),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sentence “Regulated activities means any activity carried on that is under the jurisdiction of the NRC under the Atomic Energy Act of 1954, as amended, or any title of the Energy Reorganization Act of 1972, as amended” appears in </w:t>
      </w:r>
      <w:r>
        <w:rPr>
          <w:rFonts w:ascii="Times New Roman" w:hAnsi="Times New Roman"/>
          <w:b w:val="false"/>
          <w:i w:val="false"/>
          <w:color w:val="000000"/>
          <w:sz w:val="22"/>
        </w:rPr>
        <w:t>10 CFR 19.3</w:t>
      </w:r>
      <w:r>
        <w:rPr>
          <w:rFonts w:ascii="Times New Roman" w:hAnsi="Times New Roman"/>
          <w:b w:val="false"/>
          <w:i w:val="false"/>
          <w:color w:val="000000"/>
          <w:sz w:val="22"/>
        </w:rPr>
        <w:t xml:space="preserve">, substitute the sentence “Regulated activities means any activity carried on which is under the jurisdiction of the Iowa HHS under Iowa Code chapter </w:t>
      </w:r>
      <w:hyperlink r:id="rId23">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sentence “Regulated entities means any individual, person, organization, or corporation that is subject to the regulatory jurisdiction of the NRC, including (but not limited to) an applicant for or holder of a standard design approval under subpart E of part 52 of this chapter or a standard design certification under subpart B of part 52 of this chapter” appears in </w:t>
      </w:r>
      <w:r>
        <w:rPr>
          <w:rFonts w:ascii="Times New Roman" w:hAnsi="Times New Roman"/>
          <w:b w:val="false"/>
          <w:i w:val="false"/>
          <w:color w:val="000000"/>
          <w:sz w:val="22"/>
        </w:rPr>
        <w:t>10 CFR 19.3</w:t>
      </w:r>
      <w:r>
        <w:rPr>
          <w:rFonts w:ascii="Times New Roman" w:hAnsi="Times New Roman"/>
          <w:b w:val="false"/>
          <w:i w:val="false"/>
          <w:color w:val="000000"/>
          <w:sz w:val="22"/>
        </w:rPr>
        <w:t xml:space="preserve">, substitute the sentence “Regulated entities means any individual, person, organization, or corporation that is subject to the regulatory jurisdiction of  Iowa HHS under Iowa Code chapter </w:t>
      </w:r>
      <w:hyperlink r:id="rId24">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 </w:t>
      </w:r>
      <w:r>
        <w:rPr>
          <w:rFonts w:ascii="Times New Roman" w:hAnsi="Times New Roman"/>
          <w:b w:val="false"/>
          <w:i w:val="false"/>
          <w:color w:val="000000"/>
          <w:sz w:val="22"/>
        </w:rPr>
        <w:t>10 CFR 19.11(a)</w:t>
      </w:r>
      <w:r>
        <w:rPr>
          <w:rFonts w:ascii="Times New Roman" w:hAnsi="Times New Roman"/>
          <w:b w:val="false"/>
          <w:i w:val="false"/>
          <w:color w:val="000000"/>
          <w:sz w:val="22"/>
        </w:rPr>
        <w:t>, the phrase “(except for a holder of an early site permit under subpart A of part 52 of this chapter, or a holder of a manufacturing license under subpart F of part 52 of this chapter)” is deleted and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sentence “Any notice of violation involving radiological working conditions, proposed imposition of civil penalty, or order issued pursuant to subpart B of part 2 of this chapter, and any response from the licensee” appears in </w:t>
      </w:r>
      <w:r>
        <w:rPr>
          <w:rFonts w:ascii="Times New Roman" w:hAnsi="Times New Roman"/>
          <w:b w:val="false"/>
          <w:i w:val="false"/>
          <w:color w:val="000000"/>
          <w:sz w:val="22"/>
        </w:rPr>
        <w:t>10 CFR Part 19</w:t>
      </w:r>
      <w:r>
        <w:rPr>
          <w:rFonts w:ascii="Times New Roman" w:hAnsi="Times New Roman"/>
          <w:b w:val="false"/>
          <w:i w:val="false"/>
          <w:color w:val="000000"/>
          <w:sz w:val="22"/>
        </w:rPr>
        <w:t>.11(a)(4), substitute the sentence “Any notice of violation involving radiological working conditions, proposed imposition of civil penalty, or order issued by Iowa HHS, and any response from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“the Act” appear in </w:t>
      </w:r>
      <w:r>
        <w:rPr>
          <w:rFonts w:ascii="Times New Roman" w:hAnsi="Times New Roman"/>
          <w:b w:val="false"/>
          <w:i w:val="false"/>
          <w:color w:val="000000"/>
          <w:sz w:val="22"/>
        </w:rPr>
        <w:t>10 CFR 19.16</w:t>
      </w:r>
      <w:r>
        <w:rPr>
          <w:rFonts w:ascii="Times New Roman" w:hAnsi="Times New Roman"/>
          <w:b w:val="false"/>
          <w:i w:val="false"/>
          <w:color w:val="000000"/>
          <w:sz w:val="22"/>
        </w:rPr>
        <w:t xml:space="preserve">, substitute the words “Iowa Code chapter </w:t>
      </w:r>
      <w:hyperlink r:id="rId25">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sentence “All persons who receive, possess, use, or transfer material licensed by the NRC under the regulations in parts 30 through 36, 39, 40, 60, 61, 63, 70, or 72 of this chapter, including persons licensed to operate a production or utilization facility under parts 50 or 52 of this chapter, persons licensed to possess power reactor spent fuel in an independent spent fuel storage installation (ISFSI) under part 72 of this chapter, and in accordance with </w:t>
      </w:r>
      <w:r>
        <w:rPr>
          <w:rFonts w:ascii="Times New Roman" w:hAnsi="Times New Roman"/>
          <w:b w:val="false"/>
          <w:i w:val="false"/>
          <w:color w:val="000000"/>
          <w:sz w:val="22"/>
        </w:rPr>
        <w:t>10 CFR 76.60</w:t>
      </w:r>
      <w:r>
        <w:rPr>
          <w:rFonts w:ascii="Times New Roman" w:hAnsi="Times New Roman"/>
          <w:b w:val="false"/>
          <w:i w:val="false"/>
          <w:color w:val="000000"/>
          <w:sz w:val="22"/>
        </w:rPr>
        <w:t xml:space="preserve"> to persons required to obtain a certificate of compliance or an approved compliance plan under part 76 of this chapter” appears in </w:t>
      </w:r>
      <w:r>
        <w:rPr>
          <w:rFonts w:ascii="Times New Roman" w:hAnsi="Times New Roman"/>
          <w:b w:val="false"/>
          <w:i w:val="false"/>
          <w:color w:val="000000"/>
          <w:sz w:val="22"/>
        </w:rPr>
        <w:t>10 CFR Part 19</w:t>
      </w:r>
      <w:r>
        <w:rPr>
          <w:rFonts w:ascii="Times New Roman" w:hAnsi="Times New Roman"/>
          <w:b w:val="false"/>
          <w:i w:val="false"/>
          <w:color w:val="000000"/>
          <w:sz w:val="22"/>
        </w:rPr>
        <w:t>.2(a)(1), substitute the sentence “All persons who receive, possess, use, or transfer material licensed by Iowa HHS under the regulations in parts 30 through 36, 39, 40, or 70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form “Notice to Employees and Notice to Employees – Spanish” shall be posted in place of NRC Form 3 as specified in </w:t>
      </w:r>
      <w:r>
        <w:rPr>
          <w:rFonts w:ascii="Times New Roman" w:hAnsi="Times New Roman"/>
          <w:b w:val="false"/>
          <w:i w:val="false"/>
          <w:color w:val="000000"/>
          <w:sz w:val="22"/>
        </w:rPr>
        <w:t>10 CFR Part 19</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641—39.5</w:t>
      </w:r>
      <w:r>
        <w:rPr>
          <w:rFonts w:ascii="Times New Roman" w:hAnsi="Times New Roman"/>
          <w:b/>
          <w:i w:val="false"/>
          <w:color w:val="000000"/>
          <w:sz w:val="22"/>
        </w:rPr>
        <w:t xml:space="preserve">(136C) </w:t>
      </w:r>
      <w:r>
        <w:rPr>
          <w:rFonts w:ascii="Times New Roman" w:hAnsi="Times New Roman"/>
          <w:b/>
          <w:i w:val="false"/>
          <w:color w:val="000000"/>
          <w:sz w:val="22"/>
        </w:rPr>
        <w:t xml:space="preserve">Standards for protection against radiation.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20</w:t>
      </w:r>
      <w:r>
        <w:rPr>
          <w:rFonts w:ascii="Times New Roman" w:hAnsi="Times New Roman"/>
          <w:b w:val="false"/>
          <w:i w:val="false"/>
          <w:color w:val="000000"/>
          <w:sz w:val="22"/>
        </w:rPr>
        <w:t>, “Standards for Protections Against Radiation,”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Part 20</w:t>
      </w:r>
      <w:r>
        <w:rPr>
          <w:rFonts w:ascii="Times New Roman" w:hAnsi="Times New Roman"/>
          <w:b w:val="false"/>
          <w:i w:val="false"/>
          <w:color w:val="000000"/>
          <w:sz w:val="22"/>
        </w:rPr>
        <w:t>.1006, 20.1007, 20.1008, 20.1009, 20.1401(b), 20.1406(b), 20.1905(g), 20.2004(b)(1), 20.2201(a)(2)(i) and (b)(2)(i), 20.2202(d)(1), 20.2203(d), 20.2401, 20.2402, and Appendix D to Part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20.1002</w:t>
      </w:r>
      <w:r>
        <w:rPr>
          <w:rFonts w:ascii="Times New Roman" w:hAnsi="Times New Roman"/>
          <w:b w:val="false"/>
          <w:i w:val="false"/>
          <w:color w:val="000000"/>
          <w:sz w:val="22"/>
        </w:rPr>
        <w:t>, 20.1003, 20.1204(c)(2), 20.1301(f), 20.1302(c), 20.1403(d) and (d)(1), 20.1404(a) and (a)(4), 20.1405, 20.1601(c), 20.1704, 20.1705, 20.1901(a), 20.2002, 20.2004(a)(3), 20.2102(b), 20.2103(b), 20.2104(f), 20.2105(b), 20.2106(f), 20.2107(b), 20.2108(b), 20.2201(e), 20.2202(c), 20.2204, 20.2205, 20.2301, 20.2302, and Appendix A to Part 20 (footnote c),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“under the Atomic Energy Act of 1954, as amended, and the Energy Reorganization Act of 1974, as amended” appear in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.1001(a), substitute the words “under Iowa Code chapter </w:t>
      </w:r>
      <w:hyperlink r:id="rId26">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“Nuclear Regulatory Commission” appear in </w:t>
      </w:r>
      <w:r>
        <w:rPr>
          <w:rFonts w:ascii="Times New Roman" w:hAnsi="Times New Roman"/>
          <w:b w:val="false"/>
          <w:i w:val="false"/>
          <w:color w:val="000000"/>
          <w:sz w:val="22"/>
        </w:rPr>
        <w:t>10 CFR 20.1001(a)</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Headquarters Operations Center by telephone at the numbers specified in appendix A to part 73 of this chapter” appear in </w:t>
      </w:r>
      <w:r>
        <w:rPr>
          <w:rFonts w:ascii="Times New Roman" w:hAnsi="Times New Roman"/>
          <w:b w:val="false"/>
          <w:i w:val="false"/>
          <w:color w:val="000000"/>
          <w:sz w:val="22"/>
        </w:rPr>
        <w:t>10 CFR 20.1906(d)</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“Administrator of the appropriate NRC Regional Office listed in appendix D to part 20” appear in </w:t>
      </w:r>
      <w:r>
        <w:rPr>
          <w:rFonts w:ascii="Times New Roman" w:hAnsi="Times New Roman"/>
          <w:b w:val="false"/>
          <w:i w:val="false"/>
          <w:color w:val="000000"/>
          <w:sz w:val="22"/>
        </w:rPr>
        <w:t>10 CFR 20.2204</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Where the sentences “The criteria in this subpart apply to the decommissioning of facilities licensed under parts 30, 40, 50, 52, 60, 61, 63, 70, and 72 of this chapter, and release of part of a facility or site for unrestricted use in accordance with § 50.83 of this chapter, as well as other facilities subject to the Commission’s jurisdiction under the Atomic Energy Act of 1954, as amended, and the Energy Reorganization Act of 1974, as amended. For high-level and low-level waste disposal facilities (</w:t>
      </w:r>
      <w:r>
        <w:rPr>
          <w:rFonts w:ascii="Times New Roman" w:hAnsi="Times New Roman"/>
          <w:b w:val="false"/>
          <w:i w:val="false"/>
          <w:color w:val="000000"/>
          <w:sz w:val="22"/>
        </w:rPr>
        <w:t>10 CFR parts 60</w:t>
      </w:r>
      <w:r>
        <w:rPr>
          <w:rFonts w:ascii="Times New Roman" w:hAnsi="Times New Roman"/>
          <w:b w:val="false"/>
          <w:i w:val="false"/>
          <w:color w:val="000000"/>
          <w:sz w:val="22"/>
        </w:rPr>
        <w:t xml:space="preserve">, </w:t>
      </w:r>
      <w:r>
        <w:rPr>
          <w:rFonts w:ascii="Times New Roman" w:hAnsi="Times New Roman"/>
          <w:b w:val="false"/>
          <w:i w:val="false"/>
          <w:color w:val="000000"/>
          <w:sz w:val="22"/>
        </w:rPr>
        <w:t>61</w:t>
      </w:r>
      <w:r>
        <w:rPr>
          <w:rFonts w:ascii="Times New Roman" w:hAnsi="Times New Roman"/>
          <w:b w:val="false"/>
          <w:i w:val="false"/>
          <w:color w:val="000000"/>
          <w:sz w:val="22"/>
        </w:rPr>
        <w:t xml:space="preserve">, and </w:t>
      </w:r>
      <w:r>
        <w:rPr>
          <w:rFonts w:ascii="Times New Roman" w:hAnsi="Times New Roman"/>
          <w:b w:val="false"/>
          <w:i w:val="false"/>
          <w:color w:val="000000"/>
          <w:sz w:val="22"/>
        </w:rPr>
        <w:t>63</w:t>
      </w:r>
      <w:r>
        <w:rPr>
          <w:rFonts w:ascii="Times New Roman" w:hAnsi="Times New Roman"/>
          <w:b w:val="false"/>
          <w:i w:val="false"/>
          <w:color w:val="000000"/>
          <w:sz w:val="22"/>
        </w:rPr>
        <w:t xml:space="preserve">), the criteria apply only to ancillary surface facilities that support radioactive waste disposal activities. The criteria do not apply to uranium and thorium recovery facilities already subject to appendix A to </w:t>
      </w:r>
      <w:r>
        <w:rPr>
          <w:rFonts w:ascii="Times New Roman" w:hAnsi="Times New Roman"/>
          <w:b w:val="false"/>
          <w:i w:val="false"/>
          <w:color w:val="000000"/>
          <w:sz w:val="22"/>
        </w:rPr>
        <w:t>10 CFR part 40</w:t>
      </w:r>
      <w:r>
        <w:rPr>
          <w:rFonts w:ascii="Times New Roman" w:hAnsi="Times New Roman"/>
          <w:b w:val="false"/>
          <w:i w:val="false"/>
          <w:color w:val="000000"/>
          <w:sz w:val="22"/>
        </w:rPr>
        <w:t xml:space="preserve"> or the uranium solution extraction facilities” appear in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.1401(a), substitute with the sentences “The criteria in this subpart apply to the decommissioning of facilities licensed under parts 30, 40, 61, and 70 of this chapter, as well as other facilities subject to Iowa HHS’s jurisdiction under Iowa Code chapter </w:t>
      </w:r>
      <w:hyperlink r:id="rId27">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For high-level and low-level waste disposal facilities (10 CFR Part 61), the criteria apply only to ancillary surface facilities that support radioactive waste disposal activities. The criteria do not apply to uranium and thorium recovery facilities already subject to appendix A to </w:t>
      </w:r>
      <w:r>
        <w:rPr>
          <w:rFonts w:ascii="Times New Roman" w:hAnsi="Times New Roman"/>
          <w:b w:val="false"/>
          <w:i w:val="false"/>
          <w:color w:val="000000"/>
          <w:sz w:val="22"/>
        </w:rPr>
        <w:t>10 CFR part 40</w:t>
      </w:r>
      <w:r>
        <w:rPr>
          <w:rFonts w:ascii="Times New Roman" w:hAnsi="Times New Roman"/>
          <w:b w:val="false"/>
          <w:i w:val="false"/>
          <w:color w:val="000000"/>
          <w:sz w:val="22"/>
        </w:rPr>
        <w:t xml:space="preserve"> or the uranium solution extraction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are excluded from adoption by reference of </w:t>
      </w:r>
      <w:r>
        <w:rPr>
          <w:rFonts w:ascii="Times New Roman" w:hAnsi="Times New Roman"/>
          <w:b w:val="false"/>
          <w:i w:val="false"/>
          <w:color w:val="000000"/>
          <w:sz w:val="22"/>
        </w:rPr>
        <w:t>10 CFR Part 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10 CFR 20.1401(c)</w:t>
      </w:r>
      <w:r>
        <w:rPr>
          <w:rFonts w:ascii="Times New Roman" w:hAnsi="Times New Roman"/>
          <w:b w:val="false"/>
          <w:i w:val="false"/>
          <w:color w:val="000000"/>
          <w:sz w:val="22"/>
        </w:rPr>
        <w:t>: the phrase “or after part of a facility or site has been released for unrestricted use in accordance with § 50.83 of this chapter and in accordance with the criteria in this subpart”;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 CFR 20.1403(d)</w:t>
      </w:r>
      <w:r>
        <w:rPr>
          <w:rFonts w:ascii="Times New Roman" w:hAnsi="Times New Roman"/>
          <w:b w:val="false"/>
          <w:i w:val="false"/>
          <w:color w:val="000000"/>
          <w:sz w:val="22"/>
        </w:rPr>
        <w:t xml:space="preserve"> and 20.1404(a)(4): references to “50.82(a) and (b)” and “72.54”;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10 CFR 20.1501(b)</w:t>
      </w:r>
      <w:r>
        <w:rPr>
          <w:rFonts w:ascii="Times New Roman" w:hAnsi="Times New Roman"/>
          <w:b w:val="false"/>
          <w:i w:val="false"/>
          <w:color w:val="000000"/>
          <w:sz w:val="22"/>
        </w:rPr>
        <w:t>: references to “50.75(g)” and “72.30(d)”;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10 CFR 20.2106(d)</w:t>
      </w:r>
      <w:r>
        <w:rPr>
          <w:rFonts w:ascii="Times New Roman" w:hAnsi="Times New Roman"/>
          <w:b w:val="false"/>
          <w:i w:val="false"/>
          <w:color w:val="000000"/>
          <w:sz w:val="22"/>
        </w:rPr>
        <w:t xml:space="preserve">: the phrase “These records are protected by most State privacy laws and, when transferred to the NRC, are protected by the Privacy Act of 1974, Public Law 93-579, </w:t>
      </w:r>
      <w:r>
        <w:rPr>
          <w:rFonts w:ascii="Times New Roman" w:hAnsi="Times New Roman"/>
          <w:b w:val="false"/>
          <w:i w:val="false"/>
          <w:color w:val="000000"/>
          <w:sz w:val="22"/>
        </w:rPr>
        <w:t>5 U.S.C. 552a</w:t>
      </w:r>
      <w:r>
        <w:rPr>
          <w:rFonts w:ascii="Times New Roman" w:hAnsi="Times New Roman"/>
          <w:b w:val="false"/>
          <w:i w:val="false"/>
          <w:color w:val="000000"/>
          <w:sz w:val="22"/>
        </w:rPr>
        <w:t xml:space="preserve">, and the Commission’s regulations in </w:t>
      </w:r>
      <w:r>
        <w:rPr>
          <w:rFonts w:ascii="Times New Roman" w:hAnsi="Times New Roman"/>
          <w:b w:val="false"/>
          <w:i w:val="false"/>
          <w:color w:val="000000"/>
          <w:sz w:val="22"/>
        </w:rPr>
        <w:t>10 CFR part 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required in </w:t>
      </w:r>
      <w:r>
        <w:rPr>
          <w:rFonts w:ascii="Times New Roman" w:hAnsi="Times New Roman"/>
          <w:b w:val="false"/>
          <w:i w:val="false"/>
          <w:color w:val="000000"/>
          <w:sz w:val="22"/>
        </w:rPr>
        <w:t>10 CFR 20.2201</w:t>
      </w:r>
      <w:r>
        <w:rPr>
          <w:rFonts w:ascii="Times New Roman" w:hAnsi="Times New Roman"/>
          <w:b w:val="false"/>
          <w:i w:val="false"/>
          <w:color w:val="000000"/>
          <w:sz w:val="22"/>
        </w:rPr>
        <w:t>, 20.2202, 20.2203, 20.2204, 20.2205, and 20.2207 shall be submitted to Iowa HHS.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conditions apply to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or Agreement State license” appear in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Appendix G Section I, substitute the words “Iowa HHS, U.S. Nuclear Regulatory Commission, or Agreement State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G, Section II and Section III.D.2,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“Administrator of the nearest Commission Regional Office listed in appendix D of this part” appear in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Appendix G, Section III.B.8, Section III.C.11, and Section III.D.3,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“nearest Commission Regional Office listed in appendix D of this part” appear in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Appendix G Section III.E.2,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“appropriate NRC Regional Office” appear in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Appendix G Section III.E.2,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sentence “Licensees are not required by NRC to comply with the manifesting requirements of this part when they ship” appears in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Appendix G Section I, substitute the sentence “Licensees are not required by Iowa HHS to comply with the manifesting requirements of this part when they 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641—39.6</w:t>
      </w:r>
      <w:r>
        <w:rPr>
          <w:rFonts w:ascii="Times New Roman" w:hAnsi="Times New Roman"/>
          <w:b/>
          <w:i w:val="false"/>
          <w:color w:val="000000"/>
          <w:sz w:val="22"/>
        </w:rPr>
        <w:t xml:space="preserve">(136C) </w:t>
      </w:r>
      <w:r>
        <w:rPr>
          <w:rFonts w:ascii="Times New Roman" w:hAnsi="Times New Roman"/>
          <w:b/>
          <w:i w:val="false"/>
          <w:color w:val="000000"/>
          <w:sz w:val="22"/>
        </w:rPr>
        <w:t xml:space="preserve">Rules of general applicability to licensing of byproduct material.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30</w:t>
      </w:r>
      <w:r>
        <w:rPr>
          <w:rFonts w:ascii="Times New Roman" w:hAnsi="Times New Roman"/>
          <w:b w:val="false"/>
          <w:i w:val="false"/>
          <w:color w:val="000000"/>
          <w:sz w:val="22"/>
        </w:rPr>
        <w:t xml:space="preserve">, “Rules of General Applicability to Domestic Licensing of Byproduct Material,” unless specific exemptions apply. Information and records, including applications and supporting documents submitted to the department, may be made available for public inspection in accordance with Iowa Code chapter </w:t>
      </w:r>
      <w:hyperlink r:id="rId2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Examination of Public Records (Open Records). However, the department may withhold any information and record, in whole or in part, from public inspection if disclosure of its content is not required in the public interest and would adversely affect the interest of a person concerned. Information related to the possession, use, or storage of radioactive materials shall not be made available for public inspection due to associated security risks.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39.6(1)</w:t>
      </w:r>
      <w:r>
        <w:rPr>
          <w:rFonts w:ascii="Times New Roman" w:hAnsi="Times New Roman"/>
          <w:b w:val="false"/>
          <w:i w:val="false"/>
          <w:color w:val="000000"/>
          <w:sz w:val="22"/>
        </w:rPr>
        <w:t> </w:t>
      </w:r>
      <w:r>
        <w:rPr>
          <w:rFonts w:ascii="Times New Roman" w:hAnsi="Times New Roman"/>
          <w:b w:val="false"/>
          <w:i/>
          <w:color w:val="000000"/>
          <w:sz w:val="22"/>
        </w:rPr>
        <w:t xml:space="preserve">Adoption by reference—conditions.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30</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30.3(b)</w:t>
      </w:r>
      <w:r>
        <w:rPr>
          <w:rFonts w:ascii="Times New Roman" w:hAnsi="Times New Roman"/>
          <w:b w:val="false"/>
          <w:i w:val="false"/>
          <w:color w:val="000000"/>
          <w:sz w:val="22"/>
        </w:rPr>
        <w:t>, (c), (d), 30.4 (definition of commencement of construction – paragraph 2), 30.4 (definition of “construction” – paragraph 9ii), 30.8, 30.11(c), 30.19, 30.21(c), 30.32(f), 30.33(a)(5), 30.34(d), (e)(1), (e)(3), (k), 30.41(b)(6), 30.55, 30.63, 30.64.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30.10(a)</w:t>
      </w:r>
      <w:r>
        <w:rPr>
          <w:rFonts w:ascii="Times New Roman" w:hAnsi="Times New Roman"/>
          <w:b w:val="false"/>
          <w:i w:val="false"/>
          <w:color w:val="000000"/>
          <w:sz w:val="22"/>
        </w:rPr>
        <w:t>(2), 30.35(a)(2),(b)(2),(h), 30.36(d)(4), (e)(2),(f), 30.50(a),(b), Appendix A, Appendix C, Appendix D, and Appendix E,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30.5</w:t>
      </w:r>
      <w:r>
        <w:rPr>
          <w:rFonts w:ascii="Times New Roman" w:hAnsi="Times New Roman"/>
          <w:b w:val="false"/>
          <w:i w:val="false"/>
          <w:color w:val="000000"/>
          <w:sz w:val="22"/>
        </w:rPr>
        <w:t>, 30.7(a), 30.7(a)(1)(i) and (iii) through (iv); 30.7(c) and (e)(2); 30.9; 30.10(a)(1); 30.10(c)(1); 30.31; 30.32; 30.34(a), (b)(1), (c), (e), and (f); 30.35(f)(2)(i) through (iii) and (g); 30.36(a) through (c), (f), (g)(1), (g)(2), (g)(5), and (k); 30.39 (where the word is the title); 30.41(b)(5), (7), and (c); 30.51(b) and (c)(1) through (2); 30.52(a) through (b); 30.53; 30.61(b); 30.62; and Appendices A, C, D, and E,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“General Counsel” appear in </w:t>
      </w:r>
      <w:r>
        <w:rPr>
          <w:rFonts w:ascii="Times New Roman" w:hAnsi="Times New Roman"/>
          <w:b w:val="false"/>
          <w:i w:val="false"/>
          <w:color w:val="000000"/>
          <w:sz w:val="22"/>
        </w:rPr>
        <w:t>10 CFR 30.5</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Regional Office specified in § 30.6” appear in </w:t>
      </w:r>
      <w:r>
        <w:rPr>
          <w:rFonts w:ascii="Times New Roman" w:hAnsi="Times New Roman"/>
          <w:b w:val="false"/>
          <w:i w:val="false"/>
          <w:color w:val="000000"/>
          <w:sz w:val="22"/>
        </w:rPr>
        <w:t>10 CFR 30.34(f)</w:t>
      </w:r>
      <w:r>
        <w:rPr>
          <w:rFonts w:ascii="Times New Roman" w:hAnsi="Times New Roman"/>
          <w:b w:val="false"/>
          <w:i w:val="false"/>
          <w:color w:val="000000"/>
          <w:sz w:val="22"/>
        </w:rPr>
        <w:t>, 30.51(d) through (f),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Regional Administrator” appear in </w:t>
      </w:r>
      <w:r>
        <w:rPr>
          <w:rFonts w:ascii="Times New Roman" w:hAnsi="Times New Roman"/>
          <w:b w:val="false"/>
          <w:i w:val="false"/>
          <w:color w:val="000000"/>
          <w:sz w:val="22"/>
        </w:rPr>
        <w:t>10 CFR 30.34(h)</w:t>
      </w:r>
      <w:r>
        <w:rPr>
          <w:rFonts w:ascii="Times New Roman" w:hAnsi="Times New Roman"/>
          <w:b w:val="false"/>
          <w:i w:val="false"/>
          <w:color w:val="000000"/>
          <w:sz w:val="22"/>
        </w:rPr>
        <w:t>(1),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“appropriate NRC Regional Office” appear in </w:t>
      </w:r>
      <w:r>
        <w:rPr>
          <w:rFonts w:ascii="Times New Roman" w:hAnsi="Times New Roman"/>
          <w:b w:val="false"/>
          <w:i w:val="false"/>
          <w:color w:val="000000"/>
          <w:sz w:val="22"/>
        </w:rPr>
        <w:t>10 CFR 30.51(d)</w:t>
      </w:r>
      <w:r>
        <w:rPr>
          <w:rFonts w:ascii="Times New Roman" w:hAnsi="Times New Roman"/>
          <w:b w:val="false"/>
          <w:i w:val="false"/>
          <w:color w:val="000000"/>
          <w:sz w:val="22"/>
        </w:rPr>
        <w:t xml:space="preserve"> and (f),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Part 30</w:t>
      </w:r>
      <w:r>
        <w:rPr>
          <w:rFonts w:ascii="Times New Roman" w:hAnsi="Times New Roman"/>
          <w:b w:val="false"/>
          <w:i w:val="false"/>
          <w:color w:val="000000"/>
          <w:sz w:val="22"/>
        </w:rPr>
        <w:t>.32 requires “NRC Form 313,” licensees shall use “Iowa HHS Form 313.”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Part 30</w:t>
      </w:r>
      <w:r>
        <w:rPr>
          <w:rFonts w:ascii="Times New Roman" w:hAnsi="Times New Roman"/>
          <w:b w:val="false"/>
          <w:i w:val="false"/>
          <w:color w:val="000000"/>
          <w:sz w:val="22"/>
        </w:rPr>
        <w:t>.36(j)(1) requires “NRC Form 314,” licensees shall use “Iowa HHS Form 314.”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HHS form “Notice to Employees and Notice to Employees – Spanish” shall be posted in place of NRC Form 3 as specified in </w:t>
      </w:r>
      <w:r>
        <w:rPr>
          <w:rFonts w:ascii="Times New Roman" w:hAnsi="Times New Roman"/>
          <w:b w:val="false"/>
          <w:i w:val="false"/>
          <w:color w:val="000000"/>
          <w:sz w:val="22"/>
        </w:rPr>
        <w:t>10 CFR 30.7(e)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In </w:t>
      </w:r>
      <w:r>
        <w:rPr>
          <w:rFonts w:ascii="Times New Roman" w:hAnsi="Times New Roman"/>
          <w:b w:val="false"/>
          <w:i w:val="false"/>
          <w:color w:val="000000"/>
          <w:sz w:val="22"/>
        </w:rPr>
        <w:t>10 CFR 30.3(a)</w:t>
      </w:r>
      <w:r>
        <w:rPr>
          <w:rFonts w:ascii="Times New Roman" w:hAnsi="Times New Roman"/>
          <w:b w:val="false"/>
          <w:i w:val="false"/>
          <w:color w:val="000000"/>
          <w:sz w:val="22"/>
        </w:rPr>
        <w:t>, the phrase “as provided in paragraphs (b)(2), (b)(3), (c)(2), and (c)(3) of this section” is deleted and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10 CFR  30.7(e)(3), the phrase “writing to the Regional Administrator of the appropriate U.S. Nuclear Regulatory Commission Regional Office listed in appendix D to part 20 of this chapter, via email to </w:t>
      </w:r>
      <w:hyperlink r:id="rId29">
        <w:r>
          <w:rPr>
            <w:rStyle w:val="Hyperlink"/>
            <w:rFonts w:ascii="Times New Roman" w:hAnsi="Times New Roman"/>
            <w:b w:val="false"/>
            <w:i/>
            <w:color w:val="000000"/>
            <w:sz w:val="22"/>
            <w:u w:val="single"/>
          </w:rPr>
          <w:t>Forms.Resource@nrc.gov</w:t>
        </w:r>
      </w:hyperlink>
      <w:r>
        <w:rPr>
          <w:rFonts w:ascii="Times New Roman" w:hAnsi="Times New Roman"/>
          <w:b w:val="false"/>
          <w:i w:val="false"/>
          <w:color w:val="000000"/>
          <w:sz w:val="22"/>
        </w:rPr>
        <w:t>, or by” is deleted and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“Administrator of the appropriate Regional Office” appears in </w:t>
      </w:r>
      <w:r>
        <w:rPr>
          <w:rFonts w:ascii="Times New Roman" w:hAnsi="Times New Roman"/>
          <w:b w:val="false"/>
          <w:i w:val="false"/>
          <w:color w:val="000000"/>
          <w:sz w:val="22"/>
        </w:rPr>
        <w:t>10 CFR 30.9(b)</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sentence “Upon a determination that an application meets the requirements of the Act, and the regulations of the Commission, the Commission will issue a specific license authorizing the possession and use of byproduct material” appears in </w:t>
      </w:r>
      <w:r>
        <w:rPr>
          <w:rFonts w:ascii="Times New Roman" w:hAnsi="Times New Roman"/>
          <w:b w:val="false"/>
          <w:i w:val="false"/>
          <w:color w:val="000000"/>
          <w:sz w:val="22"/>
        </w:rPr>
        <w:t>10 CFR 30.33(b)</w:t>
      </w:r>
      <w:r>
        <w:rPr>
          <w:rFonts w:ascii="Times New Roman" w:hAnsi="Times New Roman"/>
          <w:b w:val="false"/>
          <w:i w:val="false"/>
          <w:color w:val="000000"/>
          <w:sz w:val="22"/>
        </w:rPr>
        <w:t xml:space="preserve">, substitute the sentence “Upon a determination that an application meets the requirements of Iowa Code chapter </w:t>
      </w:r>
      <w:hyperlink r:id="rId3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the regulations of Iowa HHS, Iowa HHS will issue a specific license authorizing the possession and use of byproduct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operations center” appear in </w:t>
      </w:r>
      <w:r>
        <w:rPr>
          <w:rFonts w:ascii="Times New Roman" w:hAnsi="Times New Roman"/>
          <w:b w:val="false"/>
          <w:i w:val="false"/>
          <w:color w:val="000000"/>
          <w:sz w:val="22"/>
        </w:rPr>
        <w:t>10 CFR 30.32(i)</w:t>
      </w:r>
      <w:r>
        <w:rPr>
          <w:rFonts w:ascii="Times New Roman" w:hAnsi="Times New Roman"/>
          <w:b w:val="false"/>
          <w:i w:val="false"/>
          <w:color w:val="000000"/>
          <w:sz w:val="22"/>
        </w:rPr>
        <w:t>(3)(viii),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Headquarters Operations Center at the numbers specified in appendix A to part 73 of this chapter” appear in </w:t>
      </w:r>
      <w:r>
        <w:rPr>
          <w:rFonts w:ascii="Times New Roman" w:hAnsi="Times New Roman"/>
          <w:b w:val="false"/>
          <w:i w:val="false"/>
          <w:color w:val="000000"/>
          <w:sz w:val="22"/>
        </w:rPr>
        <w:t>10 CFR 30.50(c)</w:t>
      </w:r>
      <w:r>
        <w:rPr>
          <w:rFonts w:ascii="Times New Roman" w:hAnsi="Times New Roman"/>
          <w:b w:val="false"/>
          <w:i w:val="false"/>
          <w:color w:val="000000"/>
          <w:sz w:val="22"/>
        </w:rPr>
        <w:t xml:space="preserve">(1) and the words “NRC using an appropriate method listed in § 30.6(a)” appear in </w:t>
      </w:r>
      <w:r>
        <w:rPr>
          <w:rFonts w:ascii="Times New Roman" w:hAnsi="Times New Roman"/>
          <w:b w:val="false"/>
          <w:i w:val="false"/>
          <w:color w:val="000000"/>
          <w:sz w:val="22"/>
        </w:rPr>
        <w:t>10 CFR 30.50(c)</w:t>
      </w:r>
      <w:r>
        <w:rPr>
          <w:rFonts w:ascii="Times New Roman" w:hAnsi="Times New Roman"/>
          <w:b w:val="false"/>
          <w:i w:val="false"/>
          <w:color w:val="000000"/>
          <w:sz w:val="22"/>
        </w:rPr>
        <w:t>(2),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In </w:t>
      </w:r>
      <w:r>
        <w:rPr>
          <w:rFonts w:ascii="Times New Roman" w:hAnsi="Times New Roman"/>
          <w:b w:val="false"/>
          <w:i w:val="false"/>
          <w:color w:val="000000"/>
          <w:sz w:val="22"/>
        </w:rPr>
        <w:t>10 CFR 30.50(c)</w:t>
      </w:r>
      <w:r>
        <w:rPr>
          <w:rFonts w:ascii="Times New Roman" w:hAnsi="Times New Roman"/>
          <w:b w:val="false"/>
          <w:i w:val="false"/>
          <w:color w:val="000000"/>
          <w:sz w:val="22"/>
        </w:rPr>
        <w:t>(2), the phrase “and a copy must be sent to the appropriate NRC Regional office listed in appendix D to part 20 of this chapter” is deleted and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under § 32.210 of this chapter, with an Agreement State” appear in </w:t>
      </w:r>
      <w:r>
        <w:rPr>
          <w:rFonts w:ascii="Times New Roman" w:hAnsi="Times New Roman"/>
          <w:b w:val="false"/>
          <w:i w:val="false"/>
          <w:color w:val="000000"/>
          <w:sz w:val="22"/>
        </w:rPr>
        <w:t>10 CFR 30.32(g)</w:t>
      </w:r>
      <w:r>
        <w:rPr>
          <w:rFonts w:ascii="Times New Roman" w:hAnsi="Times New Roman"/>
          <w:b w:val="false"/>
          <w:i w:val="false"/>
          <w:color w:val="000000"/>
          <w:sz w:val="22"/>
        </w:rPr>
        <w:t xml:space="preserve">, substitute in the words “Iowa HHS, the U.S. Nuclear Regulatory Commission under § </w:t>
      </w:r>
      <w:r>
        <w:rPr>
          <w:rFonts w:ascii="Times New Roman" w:hAnsi="Times New Roman"/>
          <w:b w:val="false"/>
          <w:i w:val="false"/>
          <w:color w:val="000000"/>
          <w:sz w:val="22"/>
        </w:rPr>
        <w:t>10 CFR 32.210</w:t>
      </w:r>
      <w:r>
        <w:rPr>
          <w:rFonts w:ascii="Times New Roman" w:hAnsi="Times New Roman"/>
          <w:b w:val="false"/>
          <w:i w:val="false"/>
          <w:color w:val="000000"/>
          <w:sz w:val="22"/>
        </w:rPr>
        <w:t xml:space="preserve"> of this chapter, or with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“Director, Office of Nuclear Material Safety and Safeguards” appear in </w:t>
      </w:r>
      <w:r>
        <w:rPr>
          <w:rFonts w:ascii="Times New Roman" w:hAnsi="Times New Roman"/>
          <w:b w:val="false"/>
          <w:i w:val="false"/>
          <w:color w:val="000000"/>
          <w:sz w:val="22"/>
        </w:rPr>
        <w:t>10 CFR 30.35(h)</w:t>
      </w:r>
      <w:r>
        <w:rPr>
          <w:rFonts w:ascii="Times New Roman" w:hAnsi="Times New Roman"/>
          <w:b w:val="false"/>
          <w:i w:val="false"/>
          <w:color w:val="000000"/>
          <w:sz w:val="22"/>
        </w:rPr>
        <w:t>(3), substitute the word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In </w:t>
      </w:r>
      <w:r>
        <w:rPr>
          <w:rFonts w:ascii="Times New Roman" w:hAnsi="Times New Roman"/>
          <w:b w:val="false"/>
          <w:i w:val="false"/>
          <w:color w:val="000000"/>
          <w:sz w:val="22"/>
        </w:rPr>
        <w:t>10 CFR 30.36(d)</w:t>
      </w:r>
      <w:r>
        <w:rPr>
          <w:rFonts w:ascii="Times New Roman" w:hAnsi="Times New Roman"/>
          <w:b w:val="false"/>
          <w:i w:val="false"/>
          <w:color w:val="000000"/>
          <w:sz w:val="22"/>
        </w:rPr>
        <w:t>, the phrase “consistent with the administrative directions” is deleted and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“Atomic Energy Commission, the Commission, or an Agreement State” appear in </w:t>
      </w:r>
      <w:r>
        <w:rPr>
          <w:rFonts w:ascii="Times New Roman" w:hAnsi="Times New Roman"/>
          <w:b w:val="false"/>
          <w:i w:val="false"/>
          <w:color w:val="000000"/>
          <w:sz w:val="22"/>
        </w:rPr>
        <w:t>10 CFR 30.41(b)</w:t>
      </w:r>
      <w:r>
        <w:rPr>
          <w:rFonts w:ascii="Times New Roman" w:hAnsi="Times New Roman"/>
          <w:b w:val="false"/>
          <w:i w:val="false"/>
          <w:color w:val="000000"/>
          <w:sz w:val="22"/>
        </w:rPr>
        <w:t>(5), substitute the words “Iowa HHS, the U.S. Nuclear Regulatory Commission, or with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or an Agreement State” and “Commission or with an Agreement State” appear in </w:t>
      </w:r>
      <w:r>
        <w:rPr>
          <w:rFonts w:ascii="Times New Roman" w:hAnsi="Times New Roman"/>
          <w:b w:val="false"/>
          <w:i w:val="false"/>
          <w:color w:val="000000"/>
          <w:sz w:val="22"/>
        </w:rPr>
        <w:t>10 CFR 30.41(c)</w:t>
      </w:r>
      <w:r>
        <w:rPr>
          <w:rFonts w:ascii="Times New Roman" w:hAnsi="Times New Roman"/>
          <w:b w:val="false"/>
          <w:i w:val="false"/>
          <w:color w:val="000000"/>
          <w:sz w:val="22"/>
        </w:rPr>
        <w:t>, substitute the words “Iowa HHS, the U.S. Nuclear Regulatory Commission,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or the licensing department of an Agreement State” appears in </w:t>
      </w:r>
      <w:r>
        <w:rPr>
          <w:rFonts w:ascii="Times New Roman" w:hAnsi="Times New Roman"/>
          <w:b w:val="false"/>
          <w:i w:val="false"/>
          <w:color w:val="000000"/>
          <w:sz w:val="22"/>
        </w:rPr>
        <w:t>10 CFR 30.41(d)</w:t>
      </w:r>
      <w:r>
        <w:rPr>
          <w:rFonts w:ascii="Times New Roman" w:hAnsi="Times New Roman"/>
          <w:b w:val="false"/>
          <w:i w:val="false"/>
          <w:color w:val="000000"/>
          <w:sz w:val="22"/>
        </w:rPr>
        <w:t>(4) and (d)(5), substitute the words “Iowa HHS, the U.S. Nuclear Regulatory Commission, or the licensing department of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“section 81 of the Act” appear in </w:t>
      </w:r>
      <w:r>
        <w:rPr>
          <w:rFonts w:ascii="Times New Roman" w:hAnsi="Times New Roman"/>
          <w:b w:val="false"/>
          <w:i w:val="false"/>
          <w:color w:val="000000"/>
          <w:sz w:val="22"/>
        </w:rPr>
        <w:t>10 CFR 30.13</w:t>
      </w:r>
      <w:r>
        <w:rPr>
          <w:rFonts w:ascii="Times New Roman" w:hAnsi="Times New Roman"/>
          <w:b w:val="false"/>
          <w:i w:val="false"/>
          <w:color w:val="000000"/>
          <w:sz w:val="22"/>
        </w:rPr>
        <w:t xml:space="preserve">, 30.14, 30.15, 30.18, 30.19, 30.20, 30.21, and 30.22, substitute the words “Iowa Code chapter </w:t>
      </w:r>
      <w:hyperlink r:id="rId31">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“Act” appears in </w:t>
      </w:r>
      <w:r>
        <w:rPr>
          <w:rFonts w:ascii="Times New Roman" w:hAnsi="Times New Roman"/>
          <w:b w:val="false"/>
          <w:i w:val="false"/>
          <w:color w:val="000000"/>
          <w:sz w:val="22"/>
        </w:rPr>
        <w:t>10 CFR 30.32(d)</w:t>
      </w:r>
      <w:r>
        <w:rPr>
          <w:rFonts w:ascii="Times New Roman" w:hAnsi="Times New Roman"/>
          <w:b w:val="false"/>
          <w:i w:val="false"/>
          <w:color w:val="000000"/>
          <w:sz w:val="22"/>
        </w:rPr>
        <w:t xml:space="preserve">, 30.33(a)(1), 30.34(a), 30.34(b)(1), 30.34(e)(4), and 30.41(b)(2) and (b)(3), substitute the words “Iowa Code chapter </w:t>
      </w:r>
      <w:hyperlink r:id="rId32">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“section 183b.- d., inclusive, of the Act” appear in </w:t>
      </w:r>
      <w:r>
        <w:rPr>
          <w:rFonts w:ascii="Times New Roman" w:hAnsi="Times New Roman"/>
          <w:b w:val="false"/>
          <w:i w:val="false"/>
          <w:color w:val="000000"/>
          <w:sz w:val="22"/>
        </w:rPr>
        <w:t>10 CFR 30.34(d)</w:t>
      </w:r>
      <w:r>
        <w:rPr>
          <w:rFonts w:ascii="Times New Roman" w:hAnsi="Times New Roman"/>
          <w:b w:val="false"/>
          <w:i w:val="false"/>
          <w:color w:val="000000"/>
          <w:sz w:val="22"/>
        </w:rPr>
        <w:t xml:space="preserve">, substitute the words “Iowa Code chapter </w:t>
      </w:r>
      <w:hyperlink r:id="rId33">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t>
      </w:r>
      <w:r>
        <w:rPr>
          <w:rFonts w:ascii="Times New Roman" w:hAnsi="Times New Roman"/>
          <w:b w:val="false"/>
          <w:i w:val="false"/>
          <w:color w:val="000000"/>
          <w:sz w:val="22"/>
        </w:rPr>
        <w:t>10 CFR Part 30</w:t>
      </w:r>
      <w:r>
        <w:rPr>
          <w:rFonts w:ascii="Times New Roman" w:hAnsi="Times New Roman"/>
          <w:b w:val="false"/>
          <w:i w:val="false"/>
          <w:color w:val="000000"/>
          <w:sz w:val="22"/>
        </w:rPr>
        <w:t xml:space="preserve"> references fees listed in </w:t>
      </w:r>
      <w:r>
        <w:rPr>
          <w:rFonts w:ascii="Times New Roman" w:hAnsi="Times New Roman"/>
          <w:b w:val="false"/>
          <w:i w:val="false"/>
          <w:color w:val="000000"/>
          <w:sz w:val="22"/>
        </w:rPr>
        <w:t>10 CFR parts 170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171</w:t>
      </w:r>
      <w:r>
        <w:rPr>
          <w:rFonts w:ascii="Times New Roman" w:hAnsi="Times New Roman"/>
          <w:b w:val="false"/>
          <w:i w:val="false"/>
          <w:color w:val="000000"/>
          <w:sz w:val="22"/>
        </w:rPr>
        <w:t xml:space="preserve">, licensees shall comply with the fee requirements specified in rule </w:t>
      </w:r>
      <w:hyperlink r:id="rId34">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39.6(2)</w:t>
      </w:r>
      <w:r>
        <w:rPr>
          <w:rFonts w:ascii="Times New Roman" w:hAnsi="Times New Roman"/>
          <w:b w:val="false"/>
          <w:i w:val="false"/>
          <w:color w:val="000000"/>
          <w:sz w:val="22"/>
        </w:rPr>
        <w:t> </w:t>
      </w:r>
      <w:r>
        <w:rPr>
          <w:rFonts w:ascii="Times New Roman" w:hAnsi="Times New Roman"/>
          <w:b w:val="false"/>
          <w:i/>
          <w:color w:val="000000"/>
          <w:sz w:val="22"/>
        </w:rPr>
        <w:t xml:space="preserve">Reciprocity—out-of-state radiation machines.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any radiation machine is to be brought into the state for temporary use, the person proposing to bring such machine into the state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Iowa HHS Form 241;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the form to Iowa HHS at least three working days before such machine is to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appropriate fee as specified in </w:t>
      </w:r>
      <w:hyperlink r:id="rId35">
        <w:r>
          <w:rPr>
            <w:rStyle w:val="Hyperlink"/>
            <w:rFonts w:ascii="Times New Roman" w:hAnsi="Times New Roman"/>
            <w:b w:val="false"/>
            <w:i w:val="false"/>
            <w:color w:val="000000"/>
            <w:sz w:val="22"/>
          </w:rPr>
          <w:t>641—subrule 37.9(4)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 shall contain complete and accurate information and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duration, and scope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exact location(s) where the radiation machine is to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States in which the machine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for a specific case, the three-working-day period would impose an undue hardship on the person, upon application to the department, approval to proceed sooner may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Persons seeking to bring an out of state radiation machine into the state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Comply with all applicable rules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Supply the department with information as the department may reasonably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 operate within the state on a temporary basis in excess of 180 calendar days in a 365-day  period. The 365-day period starts on the day the department receives the appropriate fee, as specified in </w:t>
      </w:r>
      <w:hyperlink r:id="rId36">
        <w:r>
          <w:rPr>
            <w:rStyle w:val="Hyperlink"/>
            <w:rFonts w:ascii="Times New Roman" w:hAnsi="Times New Roman"/>
            <w:b w:val="false"/>
            <w:i w:val="false"/>
            <w:color w:val="000000"/>
            <w:sz w:val="22"/>
          </w:rPr>
          <w:t>641—subrule 37.9(4)</w:t>
        </w:r>
      </w:hyperlink>
      <w:r>
        <w:rPr>
          <w:rFonts w:ascii="Times New Roman" w:hAnsi="Times New Roman"/>
          <w:b w:val="false"/>
          <w:i w:val="false"/>
          <w:color w:val="000000"/>
          <w:sz w:val="22"/>
        </w:rPr>
        <w:t>, and ends at the conclusion of those 365 days. It is the registrant’s responsibility to ensure the 180-day limit is not exceeded and to ensure that the reciprocal recognition is renewed 30 days prior to the expiration of the 365-day reciprocity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39.6(3)</w:t>
      </w:r>
      <w:r>
        <w:rPr>
          <w:rFonts w:ascii="Times New Roman" w:hAnsi="Times New Roman"/>
          <w:b w:val="false"/>
          <w:i w:val="false"/>
          <w:color w:val="000000"/>
          <w:sz w:val="22"/>
        </w:rPr>
        <w:t> </w:t>
      </w:r>
      <w:r>
        <w:rPr>
          <w:rFonts w:ascii="Times New Roman" w:hAnsi="Times New Roman"/>
          <w:b w:val="false"/>
          <w:i/>
          <w:color w:val="000000"/>
          <w:sz w:val="22"/>
        </w:rPr>
        <w:t xml:space="preserve">Reciprocal recognition of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Licenses of byproduct, source, and special nuclear material in quantities not sufficient to form a critical mass.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Subject to the provisions set forth in this chapter, any person who holds a specific license from the Commission or an agreement state, and having jurisdiction in where the licensee maintains an office for directing the licensed activity and at which radiation safety records are normally maintained, is granted a general license to conduct the activities authorized in the licensing document issued by the department having jurisdiction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general license shall be for a period not in excess of 180 days in a 365-day period. The one-year period starts on the day the licensee’s reciprocity fee, as specified in </w:t>
      </w:r>
      <w:hyperlink r:id="rId37">
        <w:r>
          <w:rPr>
            <w:rStyle w:val="Hyperlink"/>
            <w:rFonts w:ascii="Times New Roman" w:hAnsi="Times New Roman"/>
            <w:b w:val="false"/>
            <w:i w:val="false"/>
            <w:color w:val="000000"/>
            <w:sz w:val="22"/>
          </w:rPr>
          <w:t>641—subrule 37.9(4)</w:t>
        </w:r>
      </w:hyperlink>
      <w:r>
        <w:rPr>
          <w:rFonts w:ascii="Times New Roman" w:hAnsi="Times New Roman"/>
          <w:b w:val="false"/>
          <w:i w:val="false"/>
          <w:color w:val="000000"/>
          <w:sz w:val="22"/>
        </w:rPr>
        <w:t xml:space="preserve"> is received by the department and ends exactly 365 days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are responsible for ensuring they do not exceed the 180-day limit within the 365-day period and must apply for renewal 30 days prior to the expiration date of the 365-day reciprocal recognition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Out-of-state persons wishing to operate in the state in excess of 180 calendar days must obtain a full Iowa radioactive materials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document issued by the department having jurisdiction, as referenced in subparagraph </w:t>
      </w:r>
      <w:hyperlink r:id="rId38">
        <w:r>
          <w:rPr>
            <w:rStyle w:val="Hyperlink"/>
            <w:rFonts w:ascii="Times New Roman" w:hAnsi="Times New Roman"/>
            <w:b w:val="false"/>
            <w:i w:val="false"/>
            <w:color w:val="000000"/>
            <w:sz w:val="22"/>
          </w:rPr>
          <w:t>39.6(3)</w:t>
        </w:r>
      </w:hyperlink>
      <w:r>
        <w:rPr>
          <w:rFonts w:ascii="Times New Roman" w:hAnsi="Times New Roman"/>
          <w:b w:val="false"/>
          <w:i/>
          <w:color w:val="000000"/>
          <w:sz w:val="22"/>
        </w:rPr>
        <w:t>“a”</w:t>
      </w:r>
      <w:r>
        <w:rPr>
          <w:rFonts w:ascii="Times New Roman" w:hAnsi="Times New Roman"/>
          <w:b w:val="false"/>
          <w:i w:val="false"/>
          <w:color w:val="000000"/>
          <w:sz w:val="22"/>
        </w:rPr>
        <w:t>(1), cannot limit the activity authorized by the document to specified installations or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licensee shall notify the department in writing at least three working days prior to engaging in activities in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initial notification shall include all of the following:</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The location of use;</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The period of time for use;</w:t>
      </w:r>
    </w:p>
    <w:p>
      <w:pPr>
        <w:spacing w:before="0" w:after="0"/>
        <w:ind w:left="120"/>
        <w:jc w:val="both"/>
      </w:pPr>
      <w:r>
        <w:rPr>
          <w:rFonts w:ascii="Times New Roman" w:hAnsi="Times New Roman"/>
          <w:b w:val="false"/>
          <w:i w:val="false"/>
          <w:color w:val="000000"/>
          <w:sz w:val="22"/>
        </w:rPr>
        <w:t>    C.   </w:t>
      </w:r>
      <w:r>
        <w:rPr>
          <w:rFonts w:ascii="Times New Roman" w:hAnsi="Times New Roman"/>
          <w:b w:val="false"/>
          <w:i w:val="false"/>
          <w:color w:val="000000"/>
          <w:sz w:val="22"/>
        </w:rPr>
        <w:t>The type of proposed possession and use within the state; and</w:t>
      </w:r>
    </w:p>
    <w:p>
      <w:pPr>
        <w:spacing w:before="0" w:after="0"/>
        <w:ind w:left="120"/>
        <w:jc w:val="both"/>
      </w:pPr>
      <w:r>
        <w:rPr>
          <w:rFonts w:ascii="Times New Roman" w:hAnsi="Times New Roman"/>
          <w:b w:val="false"/>
          <w:i w:val="false"/>
          <w:color w:val="000000"/>
          <w:sz w:val="22"/>
        </w:rPr>
        <w:t>    D.   </w:t>
      </w:r>
      <w:r>
        <w:rPr>
          <w:rFonts w:ascii="Times New Roman" w:hAnsi="Times New Roman"/>
          <w:b w:val="false"/>
          <w:i w:val="false"/>
          <w:color w:val="000000"/>
          <w:sz w:val="22"/>
        </w:rPr>
        <w:t>A copy of the pertinent licensing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for a specific case, the three-day period would impose an undue hardship on the out-of-state licensee, the licensee may, upon application to the department, obtain permission to proceed with use sooner.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waive the requirement for filing additional written notifications during the remainder of the 365-day reciprocity period following the receipt of the initial notification from a person wishing to engage in activities under the general license granted by subparagraph </w:t>
      </w:r>
      <w:hyperlink r:id="rId39">
        <w:r>
          <w:rPr>
            <w:rStyle w:val="Hyperlink"/>
            <w:rFonts w:ascii="Times New Roman" w:hAnsi="Times New Roman"/>
            <w:b w:val="false"/>
            <w:i w:val="false"/>
            <w:color w:val="000000"/>
            <w:sz w:val="22"/>
          </w:rPr>
          <w:t>39.6(3)</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out-of-state licensee shall comply with all applicable rules of the department and with all the terms and conditions of the licensing document, with the exception of any terms and conditions that may be inconsistent with the applicable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out-of-state licensee shall supply other information upon the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licensee cannot transfer or dispose of radioactive material possessed or used under the general license granted by subrule </w:t>
      </w:r>
      <w:hyperlink r:id="rId40">
        <w:r>
          <w:rPr>
            <w:rStyle w:val="Hyperlink"/>
            <w:rFonts w:ascii="Times New Roman" w:hAnsi="Times New Roman"/>
            <w:b w:val="false"/>
            <w:i w:val="false"/>
            <w:color w:val="000000"/>
            <w:sz w:val="22"/>
          </w:rPr>
          <w:t>39.6(3)</w:t>
        </w:r>
      </w:hyperlink>
      <w:r>
        <w:rPr>
          <w:rFonts w:ascii="Times New Roman" w:hAnsi="Times New Roman"/>
          <w:b w:val="false"/>
          <w:i w:val="false"/>
          <w:color w:val="000000"/>
          <w:sz w:val="22"/>
        </w:rPr>
        <w:t>, except by transfer to a person specifically licensed by the department, another agreement state, or the Commission to receive such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this chapter, any person who holds a specific license issued by the Commission or an agreement state authorizing the holder to manufacture, transfer, install, or service a device described in </w:t>
      </w:r>
      <w:hyperlink r:id="rId41">
        <w:r>
          <w:rPr>
            <w:rStyle w:val="Hyperlink"/>
            <w:rFonts w:ascii="Times New Roman" w:hAnsi="Times New Roman"/>
            <w:b w:val="false"/>
            <w:i w:val="false"/>
            <w:color w:val="000000"/>
            <w:sz w:val="22"/>
          </w:rPr>
          <w:t>641—subrule 37.8(3)</w:t>
        </w:r>
      </w:hyperlink>
      <w:r>
        <w:rPr>
          <w:rFonts w:ascii="Times New Roman" w:hAnsi="Times New Roman"/>
          <w:b w:val="false"/>
          <w:i w:val="false"/>
          <w:color w:val="000000"/>
          <w:sz w:val="22"/>
        </w:rPr>
        <w:t xml:space="preserve"> within areas subject to the jurisdiction of the licensing body is hereby granted a general license to install, transfer, demonstrate, or service such a device in this state provided that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Such person shall file a report with the department within 30 days after the end of each calendar quarter in which any device is transferred to or installed in this state. Each report shall identify each general licensee to whom such device is transferred by name and address, the type of device transferred, and the quantity and type of radioactive material contained in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device has been manufactured, labeled, installed, and serviced in accordance with applicable provisions of the specific license issued to such person by the Commission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Such person shall ensure that any labels required to be affixed to the device, under regulations of the authority that licensed manufacture of the device, bear a statement that “Removal of this label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holder of the specific license shall furnish a copy of the general license contained in rule </w:t>
      </w:r>
      <w:hyperlink r:id="rId42">
        <w:r>
          <w:rPr>
            <w:rStyle w:val="Hyperlink"/>
            <w:rFonts w:ascii="Times New Roman" w:hAnsi="Times New Roman"/>
            <w:b w:val="false"/>
            <w:i w:val="false"/>
            <w:color w:val="000000"/>
            <w:sz w:val="22"/>
          </w:rPr>
          <w:t>641—37.8</w:t>
        </w:r>
      </w:hyperlink>
      <w:r>
        <w:rPr>
          <w:rFonts w:ascii="Times New Roman" w:hAnsi="Times New Roman"/>
          <w:b w:val="false"/>
          <w:i w:val="false"/>
          <w:color w:val="000000"/>
          <w:sz w:val="22"/>
        </w:rPr>
        <w:t>(136C), or in equivalent regulations of the department having jurisdiction over the manufacture and distribution of the device, to each general licensee to whom the holder transfers such device to or on whose premises the holder installs such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department may withdraw, limit, or qualify its acceptance of any specific license, equivalent licensing document issued by the Commission or an agreement state, or any product distributed pursuant to such licensing document upon determining that such action is necessary in order to prevent undue hazard to public health and safety or to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Enforcement and revocation of industrial radiographer ID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industrial radiographer who violates these rules shall be subject to formal enforcement action.  The department may require the radiographer to appear at a formal hearing to show cause why the ID card should not be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department issues an  order  directing an industrial radiographer to cease and desist from the use of radioactive material, or suspending or revoking an ID card, the  radiographer shall immediately surrender the ID card to the  department. The ID card shall not be reissued until the order has been modified or rescinded or the period of suspension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inspector of the department is authorized, with prior approval of the department, to confiscate an industrial radiographer’s ID card during an inspection or investigation if the inspector determines that the radiographer’s activities constitute a severity level of I, II, or III, as specified in rule </w:t>
      </w:r>
      <w:hyperlink r:id="rId43">
        <w:r>
          <w:rPr>
            <w:rStyle w:val="Hyperlink"/>
            <w:rFonts w:ascii="Times New Roman" w:hAnsi="Times New Roman"/>
            <w:b w:val="false"/>
            <w:i w:val="false"/>
            <w:color w:val="000000"/>
            <w:sz w:val="22"/>
          </w:rPr>
          <w:t>641—37.10</w:t>
        </w:r>
      </w:hyperlink>
      <w:r>
        <w:rPr>
          <w:rFonts w:ascii="Times New Roman" w:hAnsi="Times New Roman"/>
          <w:b w:val="false"/>
          <w:i w:val="false"/>
          <w:color w:val="000000"/>
          <w:sz w:val="22"/>
        </w:rPr>
        <w:t>(136C). Upon confiscation, the department shall transmit the ID card(s) to the issuing entity and notify the U.S. Nuclear Regulatory Commission and all applicable agreement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Licenses of naturally occurring or accelerator-produced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who holds a specific license from the Commission or an agreement state, and issued by the department for directing the licensed activity and at which radiation safety records are normally maintained, is granted a general license to conduct the activities authorized in the licensing document issued by the department having jurisdiction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general license shall be for a period not in excess of 180 days in a 365-day period. The one-year period starts on the day the licensee’s reciprocity fee, as specified in </w:t>
      </w:r>
      <w:hyperlink r:id="rId44">
        <w:r>
          <w:rPr>
            <w:rStyle w:val="Hyperlink"/>
            <w:rFonts w:ascii="Times New Roman" w:hAnsi="Times New Roman"/>
            <w:b w:val="false"/>
            <w:i w:val="false"/>
            <w:color w:val="000000"/>
            <w:sz w:val="22"/>
          </w:rPr>
          <w:t>641—subrule 37.9(4)</w:t>
        </w:r>
      </w:hyperlink>
      <w:r>
        <w:rPr>
          <w:rFonts w:ascii="Times New Roman" w:hAnsi="Times New Roman"/>
          <w:b w:val="false"/>
          <w:i w:val="false"/>
          <w:color w:val="000000"/>
          <w:sz w:val="22"/>
        </w:rPr>
        <w:t>, is received by the department and ends exactly 365 days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are responsible for ensuring they do not exceed the 180-day limit within the 365-day period and must apply for renewal 30 days prior to the expiration date of the 365-day reciprocal recognition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Out-of-state persons wishing to operate in the state in excess of 180 calendar days must obtain an Iowa radioactive materials license, which requires that the person have a permanent office in Iowa where records pertaining to licensed activities are maintained and where material can be stored. This office must have at least one full-time employee and a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document issued by the department having jurisdiction, as referenced in subparagraph </w:t>
      </w:r>
      <w:hyperlink r:id="rId45">
        <w:r>
          <w:rPr>
            <w:rStyle w:val="Hyperlink"/>
            <w:rFonts w:ascii="Times New Roman" w:hAnsi="Times New Roman"/>
            <w:b w:val="false"/>
            <w:i w:val="false"/>
            <w:color w:val="000000"/>
            <w:sz w:val="22"/>
          </w:rPr>
          <w:t>39.6(3)</w:t>
        </w:r>
      </w:hyperlink>
      <w:r>
        <w:rPr>
          <w:rFonts w:ascii="Times New Roman" w:hAnsi="Times New Roman"/>
          <w:b w:val="false"/>
          <w:i/>
          <w:color w:val="000000"/>
          <w:sz w:val="22"/>
        </w:rPr>
        <w:t>“a”</w:t>
      </w:r>
      <w:r>
        <w:rPr>
          <w:rFonts w:ascii="Times New Roman" w:hAnsi="Times New Roman"/>
          <w:b w:val="false"/>
          <w:i w:val="false"/>
          <w:color w:val="000000"/>
          <w:sz w:val="22"/>
        </w:rPr>
        <w:t>(1), cannot limit the activity authorized by the document to specified installations or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licensee shall notify the department in writing at least three days prior to engaging in activities in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notification shall include all of the following:</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The location of use;</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The period of time for use;</w:t>
      </w:r>
    </w:p>
    <w:p>
      <w:pPr>
        <w:spacing w:before="0" w:after="0"/>
        <w:ind w:left="120"/>
        <w:jc w:val="both"/>
      </w:pPr>
      <w:r>
        <w:rPr>
          <w:rFonts w:ascii="Times New Roman" w:hAnsi="Times New Roman"/>
          <w:b w:val="false"/>
          <w:i w:val="false"/>
          <w:color w:val="000000"/>
          <w:sz w:val="22"/>
        </w:rPr>
        <w:t>    C.   </w:t>
      </w:r>
      <w:r>
        <w:rPr>
          <w:rFonts w:ascii="Times New Roman" w:hAnsi="Times New Roman"/>
          <w:b w:val="false"/>
          <w:i w:val="false"/>
          <w:color w:val="000000"/>
          <w:sz w:val="22"/>
        </w:rPr>
        <w:t>The type of proposed possession and use within the state;</w:t>
      </w:r>
    </w:p>
    <w:p>
      <w:pPr>
        <w:spacing w:before="0" w:after="0"/>
        <w:ind w:left="120"/>
        <w:jc w:val="both"/>
      </w:pPr>
      <w:r>
        <w:rPr>
          <w:rFonts w:ascii="Times New Roman" w:hAnsi="Times New Roman"/>
          <w:b w:val="false"/>
          <w:i w:val="false"/>
          <w:color w:val="000000"/>
          <w:sz w:val="22"/>
        </w:rPr>
        <w:t>    D.   </w:t>
      </w:r>
      <w:r>
        <w:rPr>
          <w:rFonts w:ascii="Times New Roman" w:hAnsi="Times New Roman"/>
          <w:b w:val="false"/>
          <w:i w:val="false"/>
          <w:color w:val="000000"/>
          <w:sz w:val="22"/>
        </w:rPr>
        <w:t>A copy of the pertinent licensing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for a specific case, the three-day period would impose an undue hardship on the out-of-state licensee, the licensee may, upon application to the department, obtain permission to proceed with use sooner.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waive the requirement for filing additional written notifications during the remainder of the 365-day reciprocity period following the receipt of the initial notification from a person wishing to engage in activities under the general license granted by subparagraph </w:t>
      </w:r>
      <w:hyperlink r:id="rId46">
        <w:r>
          <w:rPr>
            <w:rStyle w:val="Hyperlink"/>
            <w:rFonts w:ascii="Times New Roman" w:hAnsi="Times New Roman"/>
            <w:b w:val="false"/>
            <w:i w:val="false"/>
            <w:color w:val="000000"/>
            <w:sz w:val="22"/>
          </w:rPr>
          <w:t>39.6(3)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out-of-state licensee shall comply with all applicable rules of the department and with all the terms and conditions of the licensing document, with the exception of any terms and conditions that may be inconsistent with the applicable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out-of-state licensee shall supply other information upon the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out-of-state licensee cannot transfer or dispose of radioactive material possessed or used under the general license granted by paragraph </w:t>
      </w:r>
      <w:hyperlink r:id="rId47">
        <w:r>
          <w:rPr>
            <w:rStyle w:val="Hyperlink"/>
            <w:rFonts w:ascii="Times New Roman" w:hAnsi="Times New Roman"/>
            <w:b w:val="false"/>
            <w:i w:val="false"/>
            <w:color w:val="000000"/>
            <w:sz w:val="22"/>
          </w:rPr>
          <w:t>39.6(3)</w:t>
        </w:r>
      </w:hyperlink>
      <w:r>
        <w:rPr>
          <w:rFonts w:ascii="Times New Roman" w:hAnsi="Times New Roman"/>
          <w:b w:val="false"/>
          <w:i/>
          <w:color w:val="000000"/>
          <w:sz w:val="22"/>
        </w:rPr>
        <w:t>“b,”</w:t>
      </w:r>
      <w:r>
        <w:rPr>
          <w:rFonts w:ascii="Times New Roman" w:hAnsi="Times New Roman"/>
          <w:b w:val="false"/>
          <w:i w:val="false"/>
          <w:color w:val="000000"/>
          <w:sz w:val="22"/>
        </w:rPr>
        <w:t xml:space="preserve"> except by transfer to a person who meets either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specifically licensed by the department, another agreement state, or the Commission to receive such material;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exempt from the requirements for a license for such material under Appendix 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this chapter, any person who holds a specific license issued by the Commission or an agreement state authorizing the holder to manufacture, transfer, install, or service a device described in </w:t>
      </w:r>
      <w:r>
        <w:rPr>
          <w:rFonts w:ascii="Times New Roman" w:hAnsi="Times New Roman"/>
          <w:b w:val="false"/>
          <w:i w:val="false"/>
          <w:color w:val="000000"/>
          <w:sz w:val="22"/>
        </w:rPr>
        <w:t>10 CFR 31.5</w:t>
      </w:r>
      <w:r>
        <w:rPr>
          <w:rFonts w:ascii="Times New Roman" w:hAnsi="Times New Roman"/>
          <w:b w:val="false"/>
          <w:i w:val="false"/>
          <w:color w:val="000000"/>
          <w:sz w:val="22"/>
        </w:rPr>
        <w:t xml:space="preserve"> within areas subject to the jurisdiction of the licensing body is granted a general license to install, transfer, demonstrate, or service such a device in this state provided that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Such person shall file a report with the department within 30 days after the end of each calendar quarter in which any device is transferred to or installed in this state. Each report shall identify each general licensee to whom such device is transferred by name and address, the type of device transferred, and the quantity and type of radioactive material contained in the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device has been manufactured, labeled, installed, and serviced in accordance with applicable provisions of the specific license issued to such person by the U.S. Nuclear Regulatory Commission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Such person shall ensure that any labels required to be affixed to the device, under regulations of the authority that licensed manufacture of the device, bear a statement that “Removal of this label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holder of the specific license shall furnish a copy of the general license contained in subparagraph </w:t>
      </w:r>
      <w:hyperlink r:id="rId48">
        <w:r>
          <w:rPr>
            <w:rStyle w:val="Hyperlink"/>
            <w:rFonts w:ascii="Times New Roman" w:hAnsi="Times New Roman"/>
            <w:b w:val="false"/>
            <w:i w:val="false"/>
            <w:color w:val="000000"/>
            <w:sz w:val="22"/>
          </w:rPr>
          <w:t>39.6(3)</w:t>
        </w:r>
      </w:hyperlink>
      <w:r>
        <w:rPr>
          <w:rFonts w:ascii="Times New Roman" w:hAnsi="Times New Roman"/>
          <w:b w:val="false"/>
          <w:i/>
          <w:color w:val="000000"/>
          <w:sz w:val="22"/>
        </w:rPr>
        <w:t>“b”</w:t>
      </w:r>
      <w:r>
        <w:rPr>
          <w:rFonts w:ascii="Times New Roman" w:hAnsi="Times New Roman"/>
          <w:b w:val="false"/>
          <w:i w:val="false"/>
          <w:color w:val="000000"/>
          <w:sz w:val="22"/>
        </w:rPr>
        <w:t>(1), or in equivalent regulations of the department having jurisdiction over the manufacture and distribution of the device, to each general licensee to whom the holder transfers such device or on whose premises the holder installs such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department may withdraw, limit, or qualify its acceptance of any specific license or equivalent licensing document issued by the Commission or an agreement state, or any product distributed pursuant to such licensing document, upon determining that such action is necessary in order to prevent undue hazard to public health and safety or to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revoke or suspend an out-of-state radiographer’s ID card issued by the Commission, a licensing state, or another agreement state in accordance with the provisions of </w:t>
      </w:r>
      <w:r>
        <w:rPr>
          <w:rFonts w:ascii="Times New Roman" w:hAnsi="Times New Roman"/>
          <w:b w:val="false"/>
          <w:i w:val="false"/>
          <w:color w:val="000000"/>
          <w:sz w:val="22"/>
        </w:rPr>
        <w:t>10 CFR 30.61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641—39.7</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domestic licenses for byproduct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31</w:t>
      </w:r>
      <w:r>
        <w:rPr>
          <w:rFonts w:ascii="Times New Roman" w:hAnsi="Times New Roman"/>
          <w:b w:val="false"/>
          <w:i w:val="false"/>
          <w:color w:val="000000"/>
          <w:sz w:val="22"/>
        </w:rPr>
        <w:t>, “General Domestic Licenses for Byproduct Material,”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31</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31.4</w:t>
      </w:r>
      <w:r>
        <w:rPr>
          <w:rFonts w:ascii="Times New Roman" w:hAnsi="Times New Roman"/>
          <w:b w:val="false"/>
          <w:i w:val="false"/>
          <w:color w:val="000000"/>
          <w:sz w:val="22"/>
        </w:rPr>
        <w:t>, 31.22, and 31.23.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31.5(c)</w:t>
      </w:r>
      <w:r>
        <w:rPr>
          <w:rFonts w:ascii="Times New Roman" w:hAnsi="Times New Roman"/>
          <w:b w:val="false"/>
          <w:i w:val="false"/>
          <w:color w:val="000000"/>
          <w:sz w:val="22"/>
        </w:rPr>
        <w:t>(8)(iii), (c)(13)(ii), and (c)(13)(iv) and in 31.12(a)(5), (c)(1), (c)(2), (c)(4), and (c)(5),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“Nuclear Regulatory Commission” appear in </w:t>
      </w:r>
      <w:r>
        <w:rPr>
          <w:rFonts w:ascii="Times New Roman" w:hAnsi="Times New Roman"/>
          <w:b w:val="false"/>
          <w:i w:val="false"/>
          <w:color w:val="000000"/>
          <w:sz w:val="22"/>
        </w:rPr>
        <w:t>10 CFR 31.5(c)</w:t>
      </w:r>
      <w:r>
        <w:rPr>
          <w:rFonts w:ascii="Times New Roman" w:hAnsi="Times New Roman"/>
          <w:b w:val="false"/>
          <w:i w:val="false"/>
          <w:color w:val="000000"/>
          <w:sz w:val="22"/>
        </w:rPr>
        <w:t>(11),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31.5(c)</w:t>
      </w:r>
      <w:r>
        <w:rPr>
          <w:rFonts w:ascii="Times New Roman" w:hAnsi="Times New Roman"/>
          <w:b w:val="false"/>
          <w:i w:val="false"/>
          <w:color w:val="000000"/>
          <w:sz w:val="22"/>
        </w:rPr>
        <w:t xml:space="preserve">(5)(first and third mention), (c)(13)(ii)(both mentions), (c)(13)(iii), and (c)(13)(iv); </w:t>
      </w:r>
      <w:r>
        <w:rPr>
          <w:rFonts w:ascii="Times New Roman" w:hAnsi="Times New Roman"/>
          <w:b w:val="false"/>
          <w:i w:val="false"/>
          <w:color w:val="000000"/>
          <w:sz w:val="22"/>
        </w:rPr>
        <w:t>10 CFR 31.8(c)</w:t>
      </w:r>
      <w:r>
        <w:rPr>
          <w:rFonts w:ascii="Times New Roman" w:hAnsi="Times New Roman"/>
          <w:b w:val="false"/>
          <w:i w:val="false"/>
          <w:color w:val="000000"/>
          <w:sz w:val="22"/>
        </w:rPr>
        <w:t xml:space="preserve">(2) (second mention), 31.11(b)(1), and (d)(2)(second mention); and </w:t>
      </w:r>
      <w:r>
        <w:rPr>
          <w:rFonts w:ascii="Times New Roman" w:hAnsi="Times New Roman"/>
          <w:b w:val="false"/>
          <w:i w:val="false"/>
          <w:color w:val="000000"/>
          <w:sz w:val="22"/>
        </w:rPr>
        <w:t>10 CFR 31.21</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“Office of Nuclear Material Safety and Safeguards” appear in </w:t>
      </w:r>
      <w:r>
        <w:rPr>
          <w:rFonts w:ascii="Times New Roman" w:hAnsi="Times New Roman"/>
          <w:b w:val="false"/>
          <w:i w:val="false"/>
          <w:color w:val="000000"/>
          <w:sz w:val="22"/>
        </w:rPr>
        <w:t>10 CFR 31.5(c)</w:t>
      </w:r>
      <w:r>
        <w:rPr>
          <w:rFonts w:ascii="Times New Roman" w:hAnsi="Times New Roman"/>
          <w:b w:val="false"/>
          <w:i w:val="false"/>
          <w:color w:val="000000"/>
          <w:sz w:val="22"/>
        </w:rPr>
        <w:t>(5), 31.5(c)(14), and 31.12(c)(1), substitute the words “Iowa HHS at 321 E.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Part 31</w:t>
      </w:r>
      <w:r>
        <w:rPr>
          <w:rFonts w:ascii="Times New Roman" w:hAnsi="Times New Roman"/>
          <w:b w:val="false"/>
          <w:i w:val="false"/>
          <w:color w:val="000000"/>
          <w:sz w:val="22"/>
        </w:rPr>
        <w:t>.11(b)(1) requires “NRC Form 483,” licensees shall use “Iowa HHS Form 483.”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641—39.8</w:t>
      </w:r>
      <w:r>
        <w:rPr>
          <w:rFonts w:ascii="Times New Roman" w:hAnsi="Times New Roman"/>
          <w:b/>
          <w:i w:val="false"/>
          <w:color w:val="000000"/>
          <w:sz w:val="22"/>
        </w:rPr>
        <w:t xml:space="preserve">(136C) </w:t>
      </w:r>
      <w:r>
        <w:rPr>
          <w:rFonts w:ascii="Times New Roman" w:hAnsi="Times New Roman"/>
          <w:b/>
          <w:i w:val="false"/>
          <w:color w:val="000000"/>
          <w:sz w:val="22"/>
        </w:rPr>
        <w:t xml:space="preserve">Specific domestic licenses to manufacture or transfer certain items containing byproduct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32</w:t>
      </w:r>
      <w:r>
        <w:rPr>
          <w:rFonts w:ascii="Times New Roman" w:hAnsi="Times New Roman"/>
          <w:b w:val="false"/>
          <w:i w:val="false"/>
          <w:color w:val="000000"/>
          <w:sz w:val="22"/>
        </w:rPr>
        <w:t>, “Specific Domestic Licenses to Manufacture or Transfer Certain Items Containing Byproduct Material,”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32</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32.1(c)</w:t>
      </w:r>
      <w:r>
        <w:rPr>
          <w:rFonts w:ascii="Times New Roman" w:hAnsi="Times New Roman"/>
          <w:b w:val="false"/>
          <w:i w:val="false"/>
          <w:color w:val="000000"/>
          <w:sz w:val="22"/>
        </w:rPr>
        <w:t>(1), 32.2, 32.8, 32.11, 32.12, 32.13, 32.14, 32.15, 32.16, 32.18, 32.19, 32.20, 32.21, 32.21a, 32.22, 32.23, 32.25, 32.26, 32.27, 32.28, 32.29, 32.30, 32.31, 32.32, 32.74(c), 32.211, 32.301, and 32.303.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32.51</w:t>
      </w:r>
      <w:r>
        <w:rPr>
          <w:rFonts w:ascii="Times New Roman" w:hAnsi="Times New Roman"/>
          <w:b w:val="false"/>
          <w:i w:val="false"/>
          <w:color w:val="000000"/>
          <w:sz w:val="22"/>
        </w:rPr>
        <w:t>a(a)(5) and (b)(1) and 32.210(a) and (d)(all mentions),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“Agreement State” appear in </w:t>
      </w:r>
      <w:r>
        <w:rPr>
          <w:rFonts w:ascii="Times New Roman" w:hAnsi="Times New Roman"/>
          <w:b w:val="false"/>
          <w:i w:val="false"/>
          <w:color w:val="000000"/>
          <w:sz w:val="22"/>
        </w:rPr>
        <w:t>10 CFR 32.51(c)</w:t>
      </w:r>
      <w:r>
        <w:rPr>
          <w:rFonts w:ascii="Times New Roman" w:hAnsi="Times New Roman"/>
          <w:b w:val="false"/>
          <w:i w:val="false"/>
          <w:color w:val="000000"/>
          <w:sz w:val="22"/>
        </w:rPr>
        <w:t>, 32.51a(b), 32.51a(b)(1), 32.55(d), 32.56(b), 32.59, and 32.62(e), substitute the words “U.S.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“to the NRC and to any appropriate Agreement State” appear in </w:t>
      </w:r>
      <w:r>
        <w:rPr>
          <w:rFonts w:ascii="Times New Roman" w:hAnsi="Times New Roman"/>
          <w:b w:val="false"/>
          <w:i w:val="false"/>
          <w:color w:val="000000"/>
          <w:sz w:val="22"/>
        </w:rPr>
        <w:t>10 CFR 32.51(c)</w:t>
      </w:r>
      <w:r>
        <w:rPr>
          <w:rFonts w:ascii="Times New Roman" w:hAnsi="Times New Roman"/>
          <w:b w:val="false"/>
          <w:i w:val="false"/>
          <w:color w:val="000000"/>
          <w:sz w:val="22"/>
        </w:rPr>
        <w:t>, 32.51a(b), 32.51a(b)(1), 32.55(d), 32.56(b), 32.59, and 32.62(e), substitute the words “to Iowa HHS, the NRC and to any appropriate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“U.S. NRC or an Agreement State” appear in </w:t>
      </w:r>
      <w:r>
        <w:rPr>
          <w:rFonts w:ascii="Times New Roman" w:hAnsi="Times New Roman"/>
          <w:b w:val="false"/>
          <w:i w:val="false"/>
          <w:color w:val="000000"/>
          <w:sz w:val="22"/>
        </w:rPr>
        <w:t>10 CFR 32.54(b)</w:t>
      </w:r>
      <w:r>
        <w:rPr>
          <w:rFonts w:ascii="Times New Roman" w:hAnsi="Times New Roman"/>
          <w:b w:val="false"/>
          <w:i w:val="false"/>
          <w:color w:val="000000"/>
          <w:sz w:val="22"/>
        </w:rPr>
        <w:t>(2)(iv), substitute the words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“Director, Office of Nuclear Material Safety and Safeguards, ATTN: GLTS, by an appropriate method listed in § 30.6(a) of this chapter” appear in </w:t>
      </w:r>
      <w:r>
        <w:rPr>
          <w:rFonts w:ascii="Times New Roman" w:hAnsi="Times New Roman"/>
          <w:b w:val="false"/>
          <w:i w:val="false"/>
          <w:color w:val="000000"/>
          <w:sz w:val="22"/>
        </w:rPr>
        <w:t>10 CFR 32.52(a)</w:t>
      </w:r>
      <w:r>
        <w:rPr>
          <w:rFonts w:ascii="Times New Roman" w:hAnsi="Times New Roman"/>
          <w:b w:val="false"/>
          <w:i w:val="false"/>
          <w:color w:val="000000"/>
          <w:sz w:val="22"/>
        </w:rPr>
        <w:t xml:space="preserve"> and 32.56(a),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“NRC’s Office of Nuclear Material Safety and Safeguards, ATTN: SSDR by an appropriate method listed in § 30.6(a) of this chapter” appear in </w:t>
      </w:r>
      <w:r>
        <w:rPr>
          <w:rFonts w:ascii="Times New Roman" w:hAnsi="Times New Roman"/>
          <w:b w:val="false"/>
          <w:i w:val="false"/>
          <w:color w:val="000000"/>
          <w:sz w:val="22"/>
        </w:rPr>
        <w:t>10 CFR 32.210(b)</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“US Nuclear Regulatory Commission” appear in </w:t>
      </w:r>
      <w:r>
        <w:rPr>
          <w:rFonts w:ascii="Times New Roman" w:hAnsi="Times New Roman"/>
          <w:b w:val="false"/>
          <w:i w:val="false"/>
          <w:color w:val="000000"/>
          <w:sz w:val="22"/>
        </w:rPr>
        <w:t>10 CFR 32.74(a)</w:t>
      </w:r>
      <w:r>
        <w:rPr>
          <w:rFonts w:ascii="Times New Roman" w:hAnsi="Times New Roman"/>
          <w:b w:val="false"/>
          <w:i w:val="false"/>
          <w:color w:val="000000"/>
          <w:sz w:val="22"/>
        </w:rPr>
        <w:t>(3),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or an Agreement State” appear in </w:t>
      </w:r>
      <w:r>
        <w:rPr>
          <w:rFonts w:ascii="Times New Roman" w:hAnsi="Times New Roman"/>
          <w:b w:val="false"/>
          <w:i w:val="false"/>
          <w:color w:val="000000"/>
          <w:sz w:val="22"/>
        </w:rPr>
        <w:t>10 CFR 32.72(b)</w:t>
      </w:r>
      <w:r>
        <w:rPr>
          <w:rFonts w:ascii="Times New Roman" w:hAnsi="Times New Roman"/>
          <w:b w:val="false"/>
          <w:i w:val="false"/>
          <w:color w:val="000000"/>
          <w:sz w:val="22"/>
        </w:rPr>
        <w:t>(5)(i) and (b)(5)(ii), substitute the words “Iowa HHS, Commission,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32.3</w:t>
      </w:r>
      <w:r>
        <w:rPr>
          <w:rFonts w:ascii="Times New Roman" w:hAnsi="Times New Roman"/>
          <w:b w:val="false"/>
          <w:i w:val="false"/>
          <w:color w:val="000000"/>
          <w:sz w:val="22"/>
        </w:rPr>
        <w:t>, 32.6(c)(1) and (e), 32.51(a)(3) and (b), 32.51a(c), 32.53(b)(6) and (d), 32.54(a) and (b) and (b)(2)(v), 32.57(b)(7) and (d), 32.61(b)(8) and (e), 32.72(b)(5), 32.74(b)(2), 32.210(e) and (h)(all mentions),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32.11</w:t>
      </w:r>
      <w:r>
        <w:rPr>
          <w:rFonts w:ascii="Times New Roman" w:hAnsi="Times New Roman"/>
          <w:b w:val="false"/>
          <w:i w:val="false"/>
          <w:color w:val="000000"/>
          <w:sz w:val="22"/>
        </w:rPr>
        <w:t xml:space="preserve"> requires “NRC Form 313,” licensees shall use “Iowa HHS Form 313.”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32.52(a)</w:t>
      </w:r>
      <w:r>
        <w:rPr>
          <w:rFonts w:ascii="Times New Roman" w:hAnsi="Times New Roman"/>
          <w:b w:val="false"/>
          <w:i w:val="false"/>
          <w:color w:val="000000"/>
          <w:sz w:val="22"/>
        </w:rPr>
        <w:t xml:space="preserve"> requires “NRC Form 653,” licensees shall use “Iowa HHS Form 653.”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t>
      </w:r>
      <w:r>
        <w:rPr>
          <w:rFonts w:ascii="Times New Roman" w:hAnsi="Times New Roman"/>
          <w:b w:val="false"/>
          <w:i w:val="false"/>
          <w:color w:val="000000"/>
          <w:sz w:val="22"/>
        </w:rPr>
        <w:t>10 CFR Part 30</w:t>
      </w:r>
      <w:r>
        <w:rPr>
          <w:rFonts w:ascii="Times New Roman" w:hAnsi="Times New Roman"/>
          <w:b w:val="false"/>
          <w:i w:val="false"/>
          <w:color w:val="000000"/>
          <w:sz w:val="22"/>
        </w:rPr>
        <w:t xml:space="preserve"> references fees listed in </w:t>
      </w:r>
      <w:r>
        <w:rPr>
          <w:rFonts w:ascii="Times New Roman" w:hAnsi="Times New Roman"/>
          <w:b w:val="false"/>
          <w:i w:val="false"/>
          <w:color w:val="000000"/>
          <w:sz w:val="22"/>
        </w:rPr>
        <w:t>10 CFR Parts 170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171</w:t>
      </w:r>
      <w:r>
        <w:rPr>
          <w:rFonts w:ascii="Times New Roman" w:hAnsi="Times New Roman"/>
          <w:b w:val="false"/>
          <w:i w:val="false"/>
          <w:color w:val="000000"/>
          <w:sz w:val="22"/>
        </w:rPr>
        <w:t xml:space="preserve">, licensees shall comply with the fee requirements specified in rule </w:t>
      </w:r>
      <w:hyperlink r:id="rId49">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641—39.9</w:t>
      </w:r>
      <w:r>
        <w:rPr>
          <w:rFonts w:ascii="Times New Roman" w:hAnsi="Times New Roman"/>
          <w:b/>
          <w:i w:val="false"/>
          <w:color w:val="000000"/>
          <w:sz w:val="22"/>
        </w:rPr>
        <w:t xml:space="preserve">(136C) </w:t>
      </w:r>
      <w:r>
        <w:rPr>
          <w:rFonts w:ascii="Times New Roman" w:hAnsi="Times New Roman"/>
          <w:b/>
          <w:i w:val="false"/>
          <w:color w:val="000000"/>
          <w:sz w:val="22"/>
        </w:rPr>
        <w:t xml:space="preserve">Specific domestic licenses of broad scope for byproduct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39.9(1)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33</w:t>
      </w:r>
      <w:r>
        <w:rPr>
          <w:rFonts w:ascii="Times New Roman" w:hAnsi="Times New Roman"/>
          <w:b w:val="false"/>
          <w:i w:val="false"/>
          <w:color w:val="000000"/>
          <w:sz w:val="22"/>
        </w:rPr>
        <w:t>, “Specific Domestic Licenses of Broad Scope for Byproduct Material,”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33</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33.8</w:t>
      </w:r>
      <w:r>
        <w:rPr>
          <w:rFonts w:ascii="Times New Roman" w:hAnsi="Times New Roman"/>
          <w:b w:val="false"/>
          <w:i w:val="false"/>
          <w:color w:val="000000"/>
          <w:sz w:val="22"/>
        </w:rPr>
        <w:t>, 33.21, and 33.23.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33.16</w:t>
      </w:r>
      <w:r>
        <w:rPr>
          <w:rFonts w:ascii="Times New Roman" w:hAnsi="Times New Roman"/>
          <w:b w:val="false"/>
          <w:i w:val="false"/>
          <w:color w:val="000000"/>
          <w:sz w:val="22"/>
        </w:rPr>
        <w:t xml:space="preserve"> and 33.17(a)(3),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33.8</w:t>
      </w:r>
      <w:r>
        <w:rPr>
          <w:rFonts w:ascii="Times New Roman" w:hAnsi="Times New Roman"/>
          <w:b w:val="false"/>
          <w:i w:val="false"/>
          <w:color w:val="000000"/>
          <w:sz w:val="22"/>
        </w:rPr>
        <w:t xml:space="preserve"> and 33.12 require “NRC Form 313,” licensees shall use “Iowa HHS Form 313.”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t>
      </w:r>
      <w:r>
        <w:rPr>
          <w:rFonts w:ascii="Times New Roman" w:hAnsi="Times New Roman"/>
          <w:b w:val="false"/>
          <w:i w:val="false"/>
          <w:color w:val="000000"/>
          <w:sz w:val="22"/>
        </w:rPr>
        <w:t>10 CFR Part 30</w:t>
      </w:r>
      <w:r>
        <w:rPr>
          <w:rFonts w:ascii="Times New Roman" w:hAnsi="Times New Roman"/>
          <w:b w:val="false"/>
          <w:i w:val="false"/>
          <w:color w:val="000000"/>
          <w:sz w:val="22"/>
        </w:rPr>
        <w:t xml:space="preserve"> references fees listed in </w:t>
      </w:r>
      <w:r>
        <w:rPr>
          <w:rFonts w:ascii="Times New Roman" w:hAnsi="Times New Roman"/>
          <w:b w:val="false"/>
          <w:i w:val="false"/>
          <w:color w:val="000000"/>
          <w:sz w:val="22"/>
        </w:rPr>
        <w:t>10 CFR Parts 170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171</w:t>
      </w:r>
      <w:r>
        <w:rPr>
          <w:rFonts w:ascii="Times New Roman" w:hAnsi="Times New Roman"/>
          <w:b w:val="false"/>
          <w:i w:val="false"/>
          <w:color w:val="000000"/>
          <w:sz w:val="22"/>
        </w:rPr>
        <w:t xml:space="preserve">, licensees shall comply with the fee requirements specified in rule </w:t>
      </w:r>
      <w:hyperlink r:id="rId50">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641—39.10</w:t>
      </w:r>
      <w:r>
        <w:rPr>
          <w:rFonts w:ascii="Times New Roman" w:hAnsi="Times New Roman"/>
          <w:b/>
          <w:i w:val="false"/>
          <w:color w:val="000000"/>
          <w:sz w:val="22"/>
        </w:rPr>
        <w:t xml:space="preserve">(136C) </w:t>
      </w:r>
      <w:r>
        <w:rPr>
          <w:rFonts w:ascii="Times New Roman" w:hAnsi="Times New Roman"/>
          <w:b/>
          <w:i w:val="false"/>
          <w:color w:val="000000"/>
          <w:sz w:val="22"/>
        </w:rPr>
        <w:t xml:space="preserve">Licenses for industrial radiography and radiation safety requirements for industrial radiographic operations.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34</w:t>
      </w:r>
      <w:r>
        <w:rPr>
          <w:rFonts w:ascii="Times New Roman" w:hAnsi="Times New Roman"/>
          <w:b w:val="false"/>
          <w:i w:val="false"/>
          <w:color w:val="000000"/>
          <w:sz w:val="22"/>
        </w:rPr>
        <w:t>, “Licenses for Industrial Radiography and Radiation Safety Requirements for Industrial Radiographic Operations,”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39.10(1)</w:t>
      </w:r>
      <w:r>
        <w:rPr>
          <w:rFonts w:ascii="Times New Roman" w:hAnsi="Times New Roman"/>
          <w:b w:val="false"/>
          <w:i w:val="false"/>
          <w:color w:val="000000"/>
          <w:sz w:val="22"/>
        </w:rPr>
        <w:t> </w:t>
      </w:r>
      <w:r>
        <w:rPr>
          <w:rFonts w:ascii="Times New Roman" w:hAnsi="Times New Roman"/>
          <w:b w:val="false"/>
          <w:i/>
          <w:color w:val="000000"/>
          <w:sz w:val="22"/>
        </w:rPr>
        <w:t xml:space="preserve">Adoption by reference—conditions.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34</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34.5</w:t>
      </w:r>
      <w:r>
        <w:rPr>
          <w:rFonts w:ascii="Times New Roman" w:hAnsi="Times New Roman"/>
          <w:b w:val="false"/>
          <w:i w:val="false"/>
          <w:color w:val="000000"/>
          <w:sz w:val="22"/>
        </w:rPr>
        <w:t>, 34.8, 34.11, 34.41(b), 34.41(c), and 34.121.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34.42(c)</w:t>
      </w:r>
      <w:r>
        <w:rPr>
          <w:rFonts w:ascii="Times New Roman" w:hAnsi="Times New Roman"/>
          <w:b w:val="false"/>
          <w:i w:val="false"/>
          <w:color w:val="000000"/>
          <w:sz w:val="22"/>
        </w:rPr>
        <w:t>(1), 34.42(d), 34.43(b)(1)(both mentions) and (c)(1)(both mentions), and 34.89(b)(2),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or an Agreement State” appear in </w:t>
      </w:r>
      <w:r>
        <w:rPr>
          <w:rFonts w:ascii="Times New Roman" w:hAnsi="Times New Roman"/>
          <w:b w:val="false"/>
          <w:i w:val="false"/>
          <w:color w:val="000000"/>
          <w:sz w:val="22"/>
        </w:rPr>
        <w:t>10 CFR 34.27(a)</w:t>
      </w:r>
      <w:r>
        <w:rPr>
          <w:rFonts w:ascii="Times New Roman" w:hAnsi="Times New Roman"/>
          <w:b w:val="false"/>
          <w:i w:val="false"/>
          <w:color w:val="000000"/>
          <w:sz w:val="22"/>
        </w:rPr>
        <w:t>,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“Director, Office of Nuclear Material Safety and Safeguards by appropriate methods listed in 30.6(a) of this chapter” appear in </w:t>
      </w:r>
      <w:r>
        <w:rPr>
          <w:rFonts w:ascii="Times New Roman" w:hAnsi="Times New Roman"/>
          <w:b w:val="false"/>
          <w:i w:val="false"/>
          <w:color w:val="000000"/>
          <w:sz w:val="22"/>
        </w:rPr>
        <w:t>10 CFR 34.27(d)</w:t>
      </w:r>
      <w:r>
        <w:rPr>
          <w:rFonts w:ascii="Times New Roman" w:hAnsi="Times New Roman"/>
          <w:b w:val="false"/>
          <w:i w:val="false"/>
          <w:color w:val="000000"/>
          <w:sz w:val="22"/>
        </w:rPr>
        <w:t xml:space="preserve"> and 34.43(a)(1),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w:t>
      </w:r>
      <w:r>
        <w:rPr>
          <w:rFonts w:ascii="Times New Roman" w:hAnsi="Times New Roman"/>
          <w:b w:val="false"/>
          <w:i w:val="false"/>
          <w:color w:val="000000"/>
          <w:sz w:val="22"/>
        </w:rPr>
        <w:t>10 CFR 34.27(d)</w:t>
      </w:r>
      <w:r>
        <w:rPr>
          <w:rFonts w:ascii="Times New Roman" w:hAnsi="Times New Roman"/>
          <w:b w:val="false"/>
          <w:i w:val="false"/>
          <w:color w:val="000000"/>
          <w:sz w:val="22"/>
        </w:rPr>
        <w:t xml:space="preserve">, the sentence “A copy of the report must be sent to the Administrator of the appropriate Nuclear Regulatory Commission’s Regional Office listed in appendix D of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of this chapter “Standards for Protection Against Radiation”” is deleted and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34.3</w:t>
      </w:r>
      <w:r>
        <w:rPr>
          <w:rFonts w:ascii="Times New Roman" w:hAnsi="Times New Roman"/>
          <w:b w:val="false"/>
          <w:i w:val="false"/>
          <w:color w:val="000000"/>
          <w:sz w:val="22"/>
        </w:rPr>
        <w:t>, 34.20(a)(2), 34.27(d), 34.41(b), 34.42(b), 34.43(a)(2) and (e) and (e)(3), 34.61(both mentions), 34.81, 34.83(c) and (d), 34.111, and Appendix A,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or an Agreement State” appear in </w:t>
      </w:r>
      <w:r>
        <w:rPr>
          <w:rFonts w:ascii="Times New Roman" w:hAnsi="Times New Roman"/>
          <w:b w:val="false"/>
          <w:i w:val="false"/>
          <w:color w:val="000000"/>
          <w:sz w:val="22"/>
        </w:rPr>
        <w:t>10 CFR 34.27(b)</w:t>
      </w:r>
      <w:r>
        <w:rPr>
          <w:rFonts w:ascii="Times New Roman" w:hAnsi="Times New Roman"/>
          <w:b w:val="false"/>
          <w:i w:val="false"/>
          <w:color w:val="000000"/>
          <w:sz w:val="22"/>
        </w:rPr>
        <w:t xml:space="preserve"> and (c)(both mentions) and (e) and 34.41(c),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“NRC’s office of Nuclear Material Safety and Safeguards” and “NRC regional office” appear in </w:t>
      </w:r>
      <w:r>
        <w:rPr>
          <w:rFonts w:ascii="Times New Roman" w:hAnsi="Times New Roman"/>
          <w:b w:val="false"/>
          <w:i w:val="false"/>
          <w:color w:val="000000"/>
          <w:sz w:val="22"/>
        </w:rPr>
        <w:t>10 CFR 34.101</w:t>
      </w:r>
      <w:r>
        <w:rPr>
          <w:rFonts w:ascii="Times New Roman" w:hAnsi="Times New Roman"/>
          <w:b w:val="false"/>
          <w:i w:val="false"/>
          <w:color w:val="000000"/>
          <w:sz w:val="22"/>
        </w:rPr>
        <w:t>, substitute the words “Iowa Health and Human Services – Bureau of Radiological Health, 321 E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“When operating under reciprocity pursuant to 150.20 of this chapter, a copy of the Agreement State license authorizing the use of licensed materials” appears in </w:t>
      </w:r>
      <w:r>
        <w:rPr>
          <w:rFonts w:ascii="Times New Roman" w:hAnsi="Times New Roman"/>
          <w:b w:val="false"/>
          <w:i w:val="false"/>
          <w:color w:val="000000"/>
          <w:sz w:val="22"/>
        </w:rPr>
        <w:t>10 CFR 34.89(b)</w:t>
      </w:r>
      <w:r>
        <w:rPr>
          <w:rFonts w:ascii="Times New Roman" w:hAnsi="Times New Roman"/>
          <w:b w:val="false"/>
          <w:i w:val="false"/>
          <w:color w:val="000000"/>
          <w:sz w:val="22"/>
        </w:rPr>
        <w:t>(12), substitute the words “When operating under reciprocity pursuant to 150.20 of this chapter, a copy of the NRC or Agreement State license authorizing the use of licensed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34.8</w:t>
      </w:r>
      <w:r>
        <w:rPr>
          <w:rFonts w:ascii="Times New Roman" w:hAnsi="Times New Roman"/>
          <w:b w:val="false"/>
          <w:i w:val="false"/>
          <w:color w:val="000000"/>
          <w:sz w:val="22"/>
        </w:rPr>
        <w:t xml:space="preserve"> and 34.11 require “NRC Form 313,” licensees shall use “Iowa HHS Form 313.”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t>
      </w:r>
      <w:r>
        <w:rPr>
          <w:rFonts w:ascii="Times New Roman" w:hAnsi="Times New Roman"/>
          <w:b w:val="false"/>
          <w:i w:val="false"/>
          <w:color w:val="000000"/>
          <w:sz w:val="22"/>
        </w:rPr>
        <w:t>10 CFR Part 30</w:t>
      </w:r>
      <w:r>
        <w:rPr>
          <w:rFonts w:ascii="Times New Roman" w:hAnsi="Times New Roman"/>
          <w:b w:val="false"/>
          <w:i w:val="false"/>
          <w:color w:val="000000"/>
          <w:sz w:val="22"/>
        </w:rPr>
        <w:t xml:space="preserve"> references fees listed in </w:t>
      </w:r>
      <w:r>
        <w:rPr>
          <w:rFonts w:ascii="Times New Roman" w:hAnsi="Times New Roman"/>
          <w:b w:val="false"/>
          <w:i w:val="false"/>
          <w:color w:val="000000"/>
          <w:sz w:val="22"/>
        </w:rPr>
        <w:t>10 CFR Parts 170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171</w:t>
      </w:r>
      <w:r>
        <w:rPr>
          <w:rFonts w:ascii="Times New Roman" w:hAnsi="Times New Roman"/>
          <w:b w:val="false"/>
          <w:i w:val="false"/>
          <w:color w:val="000000"/>
          <w:sz w:val="22"/>
        </w:rPr>
        <w:t xml:space="preserve">, licensees shall comply with the fee requirements specified in rule </w:t>
      </w:r>
      <w:hyperlink r:id="rId51">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use of radiation machines in industrial radiography. </w:t>
      </w:r>
      <w:r>
        <w:rPr>
          <w:rFonts w:ascii="Times New Roman" w:hAnsi="Times New Roman"/>
          <w:b w:val="false"/>
          <w:i w:val="false"/>
          <w:color w:val="000000"/>
          <w:sz w:val="22"/>
        </w:rPr>
        <w:t xml:space="preserve">The requirements of this subrule are in addition to, and not in substitution for, other applicable requirements of 10 CFR 34, </w:t>
      </w:r>
      <w:hyperlink r:id="rId52">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 and this chapter. These rules apply to all licensees or registrants who use radiation for industrial or nonhuman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Uses of certified and certifiable cabinet X-ray systems designed to exclude individuals are exempt from the requirements of this chapter, except for the requirements of subparagraphs </w:t>
      </w:r>
      <w:hyperlink r:id="rId53">
        <w:r>
          <w:rPr>
            <w:rStyle w:val="Hyperlink"/>
            <w:rFonts w:ascii="Times New Roman" w:hAnsi="Times New Roman"/>
            <w:b w:val="false"/>
            <w:i w:val="false"/>
            <w:color w:val="000000"/>
            <w:sz w:val="22"/>
          </w:rPr>
          <w:t>39.10(2)</w:t>
        </w:r>
        <w:r>
          <w:rPr>
            <w:rFonts w:ascii="Times New Roman" w:hAnsi="Times New Roman"/>
            <w:b w:val="false"/>
            <w:i/>
            <w:color w:val="000000"/>
            <w:sz w:val="22"/>
          </w:rPr>
          <w:t>“e”</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machines determined by the agency to constitute a minimal threat to human health and safety in accordance with </w:t>
      </w:r>
      <w:hyperlink r:id="rId54">
        <w:r>
          <w:rPr>
            <w:rStyle w:val="Hyperlink"/>
            <w:rFonts w:ascii="Times New Roman" w:hAnsi="Times New Roman"/>
            <w:b w:val="false"/>
            <w:i w:val="false"/>
            <w:color w:val="000000"/>
            <w:sz w:val="22"/>
          </w:rPr>
          <w:t>641—subrule 37.3(1)</w:t>
        </w:r>
      </w:hyperlink>
      <w:r>
        <w:rPr>
          <w:rFonts w:ascii="Times New Roman" w:hAnsi="Times New Roman"/>
          <w:b w:val="false"/>
          <w:i w:val="false"/>
          <w:color w:val="000000"/>
          <w:sz w:val="22"/>
        </w:rPr>
        <w:t xml:space="preserve"> are exempt from the rules in this chapter, except for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Receipt, transfer, and disposal of sources of radiation. </w:t>
      </w:r>
      <w:r>
        <w:rPr>
          <w:rFonts w:ascii="Times New Roman" w:hAnsi="Times New Roman"/>
          <w:b w:val="false"/>
          <w:i w:val="false"/>
          <w:color w:val="000000"/>
          <w:sz w:val="22"/>
        </w:rPr>
        <w:t>Each registrant shall maintain records showing the receipt, transfer, and disposal of machine-produced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These records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making the record;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make, model, and serial number of each source of radiation and device,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shall be maintained for three years after they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Radiation survey instruments.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maintain sufficient calibrated and operable radiation survey instruments at each location where sources of radiation are present to make physical radiation surveys as required by this chapter and </w:t>
      </w:r>
      <w:hyperlink r:id="rId55">
        <w:r>
          <w:rPr>
            <w:rStyle w:val="Hyperlink"/>
            <w:rFonts w:ascii="Times New Roman" w:hAnsi="Times New Roman"/>
            <w:b w:val="false"/>
            <w:i w:val="false"/>
            <w:color w:val="000000"/>
            <w:sz w:val="22"/>
          </w:rPr>
          <w:t>641—subrule 37.11(13)</w:t>
        </w:r>
      </w:hyperlink>
      <w:r>
        <w:rPr>
          <w:rFonts w:ascii="Times New Roman" w:hAnsi="Times New Roman"/>
          <w:b w:val="false"/>
          <w:i w:val="false"/>
          <w:color w:val="000000"/>
          <w:sz w:val="22"/>
        </w:rPr>
        <w:t>. Instrumentation required by this subrule shall have a range such that two millirems (0.02 millisievert) per hour through one rem (0.01 sievert) per hour can be measured.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w:t>
      </w:r>
      <w:hyperlink r:id="rId56">
        <w:r>
          <w:rPr>
            <w:rStyle w:val="Hyperlink"/>
            <w:rFonts w:ascii="Times New Roman" w:hAnsi="Times New Roman"/>
            <w:b w:val="false"/>
            <w:i w:val="false"/>
            <w:color w:val="000000"/>
            <w:sz w:val="22"/>
          </w:rPr>
          <w:t>641—paragraph 37.11(13)</w:t>
        </w:r>
      </w:hyperlink>
      <w:r>
        <w:rPr>
          <w:rFonts w:ascii="Times New Roman" w:hAnsi="Times New Roman"/>
          <w:b w:val="false"/>
          <w:i/>
          <w:color w:val="000000"/>
          <w:sz w:val="22"/>
        </w:rPr>
        <w:t>“c,”</w:t>
      </w:r>
      <w:r>
        <w:rPr>
          <w:rFonts w:ascii="Times New Roman" w:hAnsi="Times New Roman"/>
          <w:b w:val="false"/>
          <w:i w:val="false"/>
          <w:color w:val="000000"/>
          <w:sz w:val="22"/>
        </w:rPr>
        <w:t xml:space="preserve"> each radiation survey instrument shall be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energies appropriate for use and at intervals not to exceed six months and after each instrument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that accuracy within plus or minus 20 percent of the calibration source can be demonstrated at each point checked;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2 points located approximately 1/3 and 2/3 of full-scale on each scale for linear scale instruments; at midrange of each decade, and at 2 points of at least 1 decade for logarithmic scale instruments; and at 3 points between 2 and 1,000 mrem per hour for digital instruments;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By a person licensed or registered by the agency, another agreement state, or the Commission to perform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of these calibrations shall be maintained for three years after the calibration date for inspection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radiation survey instrument shall be checked with a radiation source at the beginning of each day of use and at the beginning of each work shift to ensure it is operating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Utilization logs.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registrant shall maintain current logs of the use of each source of radiation. The logs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unique identification, which includes the make, model and serial number of each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identity of the radiographer using the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date(s) each source of radiation is energized or used and the number of exposures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Utilization logs must be kept on clear, legible records containing all the information required by this chapter. Copies of utilization logs shall be maintained for agency inspection for three years from the date of the recorded event. The records shall be kept at the location specified by the license or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Inspection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registrant shall perform visual and operability checks on survey meters, radiation machines and associated equipment before use on each day that the components are to be used to ensure that the components are in good working condition and that required labeling is present. Survey instrument operability must be performed using check sources or other appropriate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registrant shall have written procedures and conduct a program at intervals not to exceed three months, or prior to the first use thereafter, of inspection and maintenance of radiation machines, survey instruments, and associated equipment to ensure proper functioning of components important to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appropriate parts shall be maintained in accordance with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Replacement components shall meet design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program shall cover, as a minimum, the items in Appendix F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equipment defects or issues are found, the equipment must be removed from service until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record of equipment defects or issues and of any maintenance performed under the requirements of this chapter must be retained for three years after the record is made. The record must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check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equipment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problems found;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What repair or maintenance was performed,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Permanent radiographic installations. </w:t>
      </w:r>
      <w:r>
        <w:rPr>
          <w:rFonts w:ascii="Times New Roman" w:hAnsi="Times New Roman"/>
          <w:b w:val="false"/>
          <w:i w:val="false"/>
          <w:color w:val="000000"/>
          <w:sz w:val="22"/>
        </w:rPr>
        <w:t xml:space="preserve">Permanent radiographic installations having high radiation area entrance controls of the type described in 641—subparagraphs </w:t>
      </w:r>
      <w:hyperlink r:id="rId57">
        <w:r>
          <w:rPr>
            <w:rStyle w:val="Hyperlink"/>
            <w:rFonts w:ascii="Times New Roman" w:hAnsi="Times New Roman"/>
            <w:b w:val="false"/>
            <w:i w:val="false"/>
            <w:color w:val="000000"/>
            <w:sz w:val="22"/>
          </w:rPr>
          <w:t>37.11(15)</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r>
        <w:rPr>
          <w:rFonts w:ascii="Times New Roman" w:hAnsi="Times New Roman"/>
          <w:b w:val="false"/>
          <w:i/>
          <w:color w:val="000000"/>
          <w:sz w:val="22"/>
        </w:rPr>
        <w:t>“a”</w:t>
      </w:r>
      <w:r>
        <w:rPr>
          <w:rFonts w:ascii="Times New Roman" w:hAnsi="Times New Roman"/>
          <w:b w:val="false"/>
          <w:i w:val="false"/>
          <w:color w:val="000000"/>
          <w:sz w:val="22"/>
        </w:rPr>
        <w:t>(3) shall also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entrance that is used for personnel access to the high radiation area shall have both visible and audible warning signals to warn of the presence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visible signal shall be activated by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audible signal shall be activated when an attempt is made to enter the installation while the source is exposed.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control device or alarm system shall be tested for proper operation at the beginning of each day of equipment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control device or alarm system is operating improperly, it shall be immediately labeled as defective and repaired before industrial radiographic operations are resumed.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these tests shall be maintained for inspection by the agency for three years from the date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Training and testing for radiographic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Radiographer’s assistant requirements. No registrant shall permit any individual to act as a radiographer’s assistant, as defined in this chapter, until it has been documented on the appropriate agency form or equivalent that such individual has received copies of, and has demonstrated an understanding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subjects outlined in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rules contained in this chapter and the applicable sections of </w:t>
      </w:r>
      <w:hyperlink r:id="rId58">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appropriate conditions of certificate(s)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registrant’s operating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developed competence to use, under the personal supervision of the radiographer, the registrant’s radiation machine and radiation survey instruments that the assistant will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Radiographer requirements. No registrant shall permit any individual to act as a radiographer until it has been documented to the agency that such individual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the requirements of subparagraph </w:t>
      </w:r>
      <w:hyperlink r:id="rId59">
        <w:r>
          <w:rPr>
            <w:rStyle w:val="Hyperlink"/>
            <w:rFonts w:ascii="Times New Roman" w:hAnsi="Times New Roman"/>
            <w:b w:val="false"/>
            <w:i w:val="false"/>
            <w:color w:val="000000"/>
            <w:sz w:val="22"/>
          </w:rPr>
          <w:t>39.10(2)</w:t>
        </w:r>
      </w:hyperlink>
      <w:r>
        <w:rPr>
          <w:rFonts w:ascii="Times New Roman" w:hAnsi="Times New Roman"/>
          <w:b w:val="false"/>
          <w:i/>
          <w:color w:val="000000"/>
          <w:sz w:val="22"/>
        </w:rPr>
        <w:t>“g”</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Completed on-the-job training as a radiographic trainee supervised by one or more radiographic trainers. The on-the-job training shall be documented on the appropriate agency form or equivalent and shall include a minimum of one month (160 hours) of active participation in the performance of industrial radiography utilizing radiation machines. Active participation does not include safety meetings or classroom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Demonstrated competence in the use of radiation machines and radiation survey instruments that may be employed in industrial radiographic assignments by successful completion of a practical examination covering this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Completed, within the last five years, an appropriate examination and possesses a current ID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Radiographer trainer. No individual shall act as a radiographer trainer unless such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Has met the requirements of subparagraph </w:t>
      </w:r>
      <w:hyperlink r:id="rId60">
        <w:r>
          <w:rPr>
            <w:rStyle w:val="Hyperlink"/>
            <w:rFonts w:ascii="Times New Roman" w:hAnsi="Times New Roman"/>
            <w:b w:val="false"/>
            <w:i w:val="false"/>
            <w:color w:val="000000"/>
            <w:sz w:val="22"/>
          </w:rPr>
          <w:t>39.10(2)</w:t>
        </w:r>
      </w:hyperlink>
      <w:r>
        <w:rPr>
          <w:rFonts w:ascii="Times New Roman" w:hAnsi="Times New Roman"/>
          <w:b w:val="false"/>
          <w:i/>
          <w:color w:val="000000"/>
          <w:sz w:val="22"/>
        </w:rPr>
        <w:t>“g”</w:t>
      </w:r>
      <w:r>
        <w:rPr>
          <w:rFonts w:ascii="Times New Roman" w:hAnsi="Times New Roman"/>
          <w:b w:val="false"/>
          <w:i w:val="false"/>
          <w:color w:val="000000"/>
          <w:sz w:val="22"/>
        </w:rPr>
        <w:t xml:space="preserve">(1) and numbered paragraph </w:t>
      </w:r>
      <w:hyperlink r:id="rId61">
        <w:r>
          <w:rPr>
            <w:rStyle w:val="Hyperlink"/>
            <w:rFonts w:ascii="Times New Roman" w:hAnsi="Times New Roman"/>
            <w:b w:val="false"/>
            <w:i w:val="false"/>
            <w:color w:val="000000"/>
            <w:sz w:val="22"/>
          </w:rPr>
          <w:t>39.10(2)</w:t>
        </w:r>
        <w:r>
          <w:rPr>
            <w:rFonts w:ascii="Times New Roman" w:hAnsi="Times New Roman"/>
            <w:b w:val="false"/>
            <w:i/>
            <w:color w:val="000000"/>
            <w:sz w:val="22"/>
          </w:rPr>
          <w:t>“g”</w:t>
        </w:r>
        <w:r>
          <w:rPr>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one year of documented experience as an industrial radiographer and possesses a current ID card issued at least one year prior to acting as a trainer;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named on the certificate of registration issued by the agency and under which an individual is acting as a radiographer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safety officer (RSO). The RSO, as defined in rule </w:t>
      </w:r>
      <w:hyperlink r:id="rId62">
        <w:r>
          <w:rPr>
            <w:rStyle w:val="Hyperlink"/>
            <w:rFonts w:ascii="Times New Roman" w:hAnsi="Times New Roman"/>
            <w:b w:val="false"/>
            <w:i w:val="false"/>
            <w:color w:val="000000"/>
            <w:sz w:val="22"/>
          </w:rPr>
          <w:t>641—37.2</w:t>
        </w:r>
      </w:hyperlink>
      <w:r>
        <w:rPr>
          <w:rFonts w:ascii="Times New Roman" w:hAnsi="Times New Roman"/>
          <w:b w:val="false"/>
          <w:i w:val="false"/>
          <w:color w:val="000000"/>
          <w:sz w:val="22"/>
        </w:rPr>
        <w:t>(136C), shall ensure that radiation safety activities are being performed in accordance with approved procedures and regulatory requirements in the daily operation of the registrant’s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RSO shall be designated for every certificate of registration issued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RSO’s qualifications shall include the following:</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Possession of a high school diploma or a certificate of high school equivalency based on the GED tests;</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 xml:space="preserve">Completion of the training and testing requirements of subparagraphs </w:t>
      </w:r>
      <w:hyperlink r:id="rId63">
        <w:r>
          <w:rPr>
            <w:rStyle w:val="Hyperlink"/>
            <w:rFonts w:ascii="Times New Roman" w:hAnsi="Times New Roman"/>
            <w:b w:val="false"/>
            <w:i w:val="false"/>
            <w:color w:val="000000"/>
            <w:sz w:val="22"/>
          </w:rPr>
          <w:t>39.10(2)</w:t>
        </w:r>
      </w:hyperlink>
      <w:r>
        <w:rPr>
          <w:rFonts w:ascii="Times New Roman" w:hAnsi="Times New Roman"/>
          <w:b w:val="false"/>
          <w:i/>
          <w:color w:val="000000"/>
          <w:sz w:val="22"/>
        </w:rPr>
        <w:t>“g”</w:t>
      </w:r>
      <w:r>
        <w:rPr>
          <w:rFonts w:ascii="Times New Roman" w:hAnsi="Times New Roman"/>
          <w:b w:val="false"/>
          <w:i w:val="false"/>
          <w:color w:val="000000"/>
          <w:sz w:val="22"/>
        </w:rPr>
        <w:t xml:space="preserve">(1), </w:t>
      </w:r>
      <w:r>
        <w:rPr>
          <w:rFonts w:ascii="Times New Roman" w:hAnsi="Times New Roman"/>
          <w:b w:val="false"/>
          <w:i/>
          <w:color w:val="000000"/>
          <w:sz w:val="22"/>
        </w:rPr>
        <w:t>“g”</w:t>
      </w:r>
      <w:r>
        <w:rPr>
          <w:rFonts w:ascii="Times New Roman" w:hAnsi="Times New Roman"/>
          <w:b w:val="false"/>
          <w:i w:val="false"/>
          <w:color w:val="000000"/>
          <w:sz w:val="22"/>
        </w:rPr>
        <w:t xml:space="preserve">(3), and </w:t>
      </w:r>
      <w:r>
        <w:rPr>
          <w:rFonts w:ascii="Times New Roman" w:hAnsi="Times New Roman"/>
          <w:b w:val="false"/>
          <w:i/>
          <w:color w:val="000000"/>
          <w:sz w:val="22"/>
        </w:rPr>
        <w:t>“g”</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C.   </w:t>
      </w:r>
      <w:r>
        <w:rPr>
          <w:rFonts w:ascii="Times New Roman" w:hAnsi="Times New Roman"/>
          <w:b w:val="false"/>
          <w:i w:val="false"/>
          <w:color w:val="000000"/>
          <w:sz w:val="22"/>
        </w:rPr>
        <w:t>Formal training in the establishment and maintenance of a radiation protection program.</w:t>
      </w:r>
    </w:p>
    <w:p>
      <w:pPr>
        <w:spacing w:before="0" w:after="0"/>
        <w:ind w:left="120"/>
        <w:jc w:val="both"/>
      </w:pPr>
      <w:r>
        <w:rPr>
          <w:rFonts w:ascii="Times New Roman" w:hAnsi="Times New Roman"/>
          <w:b w:val="false"/>
          <w:i w:val="false"/>
          <w:color w:val="000000"/>
          <w:sz w:val="22"/>
        </w:rPr>
        <w:t>    D.   </w:t>
      </w:r>
      <w:r>
        <w:rPr>
          <w:rFonts w:ascii="Times New Roman" w:hAnsi="Times New Roman"/>
          <w:b w:val="false"/>
          <w:i w:val="false"/>
          <w:color w:val="000000"/>
          <w:sz w:val="22"/>
        </w:rPr>
        <w:t>The agency will consider alternatives when the RSO has either appropriate training or experience, or both, in the field of ionizing radiation and, in addition, has adequate formal training with respect to the establishment and maintenance of a radiation safety protection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duties of the RSO include but are not limited to the following:</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To establish and oversee operating, emergency, and ALARA procedures and to review them regularly to ensure that the procedures are current and conform with these rules;</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To oversee and approve all phases of the training program for radiographic personnel so that appropriate and effective radiation protection practices are taught;</w:t>
      </w:r>
    </w:p>
    <w:p>
      <w:pPr>
        <w:spacing w:before="0" w:after="0"/>
        <w:ind w:left="120"/>
        <w:jc w:val="both"/>
      </w:pPr>
      <w:r>
        <w:rPr>
          <w:rFonts w:ascii="Times New Roman" w:hAnsi="Times New Roman"/>
          <w:b w:val="false"/>
          <w:i w:val="false"/>
          <w:color w:val="000000"/>
          <w:sz w:val="22"/>
        </w:rPr>
        <w:t>    C.   </w:t>
      </w:r>
      <w:r>
        <w:rPr>
          <w:rFonts w:ascii="Times New Roman" w:hAnsi="Times New Roman"/>
          <w:b w:val="false"/>
          <w:i w:val="false"/>
          <w:color w:val="000000"/>
          <w:sz w:val="22"/>
        </w:rPr>
        <w:t>To ensure that required radiation surveys are performed and documented in accordance with these rules, including any corrective measures when levels of radiation exceed established limits;</w:t>
      </w:r>
    </w:p>
    <w:p>
      <w:pPr>
        <w:spacing w:before="0" w:after="0"/>
        <w:ind w:left="120"/>
        <w:jc w:val="both"/>
      </w:pPr>
      <w:r>
        <w:rPr>
          <w:rFonts w:ascii="Times New Roman" w:hAnsi="Times New Roman"/>
          <w:b w:val="false"/>
          <w:i w:val="false"/>
          <w:color w:val="000000"/>
          <w:sz w:val="22"/>
        </w:rPr>
        <w:t>    D.   </w:t>
      </w:r>
      <w:r>
        <w:rPr>
          <w:rFonts w:ascii="Times New Roman" w:hAnsi="Times New Roman"/>
          <w:b w:val="false"/>
          <w:i w:val="false"/>
          <w:color w:val="000000"/>
          <w:sz w:val="22"/>
        </w:rPr>
        <w:t xml:space="preserve">To ensure that personnel monitoring devices are calibrated and used properly by occupationally exposed personnel, that records are kept of the monitoring results, and that timely notifications are made as required by rule </w:t>
      </w:r>
      <w:hyperlink r:id="rId64">
        <w:r>
          <w:rPr>
            <w:rStyle w:val="Hyperlink"/>
            <w:rFonts w:ascii="Times New Roman" w:hAnsi="Times New Roman"/>
            <w:b w:val="false"/>
            <w:i w:val="false"/>
            <w:color w:val="000000"/>
            <w:sz w:val="22"/>
          </w:rPr>
          <w:t>641—37.11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E.   </w:t>
      </w:r>
      <w:r>
        <w:rPr>
          <w:rFonts w:ascii="Times New Roman" w:hAnsi="Times New Roman"/>
          <w:b w:val="false"/>
          <w:i w:val="false"/>
          <w:color w:val="000000"/>
          <w:sz w:val="22"/>
        </w:rPr>
        <w:t>To ensure that any required interlock switches and warning signals are functioning and that radiation signs, ropes, and barriers are properly posted and positioned;</w:t>
      </w:r>
    </w:p>
    <w:p>
      <w:pPr>
        <w:spacing w:before="0" w:after="0"/>
        <w:ind w:left="120"/>
        <w:jc w:val="both"/>
      </w:pPr>
      <w:r>
        <w:rPr>
          <w:rFonts w:ascii="Times New Roman" w:hAnsi="Times New Roman"/>
          <w:b w:val="false"/>
          <w:i w:val="false"/>
          <w:color w:val="000000"/>
          <w:sz w:val="22"/>
        </w:rPr>
        <w:t>    F.   </w:t>
      </w:r>
      <w:r>
        <w:rPr>
          <w:rFonts w:ascii="Times New Roman" w:hAnsi="Times New Roman"/>
          <w:b w:val="false"/>
          <w:i w:val="false"/>
          <w:color w:val="000000"/>
          <w:sz w:val="22"/>
        </w:rPr>
        <w:t>To investigate and report to the agency each known or suspected case of radiation exposure to an individual or radiation level detected in excess of limits established by these rules, and each theft or loss of source(s) of radiation, to determine the cause, and to take steps to prevent its recurrence;</w:t>
      </w:r>
    </w:p>
    <w:p>
      <w:pPr>
        <w:spacing w:before="0" w:after="0"/>
        <w:ind w:left="120"/>
        <w:jc w:val="both"/>
      </w:pPr>
      <w:r>
        <w:rPr>
          <w:rFonts w:ascii="Times New Roman" w:hAnsi="Times New Roman"/>
          <w:b w:val="false"/>
          <w:i w:val="false"/>
          <w:color w:val="000000"/>
          <w:sz w:val="22"/>
        </w:rPr>
        <w:t>    G.   </w:t>
      </w:r>
      <w:r>
        <w:rPr>
          <w:rFonts w:ascii="Times New Roman" w:hAnsi="Times New Roman"/>
          <w:b w:val="false"/>
          <w:i w:val="false"/>
          <w:color w:val="000000"/>
          <w:sz w:val="22"/>
        </w:rPr>
        <w:t>To have a thorough knowledge of management policies and administrative procedures of the registrant;</w:t>
      </w:r>
    </w:p>
    <w:p>
      <w:pPr>
        <w:spacing w:before="0" w:after="0"/>
        <w:ind w:left="120"/>
        <w:jc w:val="both"/>
      </w:pPr>
      <w:r>
        <w:rPr>
          <w:rFonts w:ascii="Times New Roman" w:hAnsi="Times New Roman"/>
          <w:b w:val="false"/>
          <w:i w:val="false"/>
          <w:color w:val="000000"/>
          <w:sz w:val="22"/>
        </w:rPr>
        <w:t>    H.   </w:t>
      </w:r>
      <w:r>
        <w:rPr>
          <w:rFonts w:ascii="Times New Roman" w:hAnsi="Times New Roman"/>
          <w:b w:val="false"/>
          <w:i w:val="false"/>
          <w:color w:val="000000"/>
          <w:sz w:val="22"/>
        </w:rPr>
        <w:t>To assume control and have the authority to institute corrective actions, including shutdown of operations when necessary in emergency situations or unsafe conditions;</w:t>
      </w:r>
    </w:p>
    <w:p>
      <w:pPr>
        <w:spacing w:before="0" w:after="0"/>
        <w:ind w:left="120"/>
        <w:jc w:val="both"/>
      </w:pPr>
      <w:r>
        <w:rPr>
          <w:rFonts w:ascii="Times New Roman" w:hAnsi="Times New Roman"/>
          <w:b w:val="false"/>
          <w:i w:val="false"/>
          <w:color w:val="000000"/>
          <w:sz w:val="22"/>
        </w:rPr>
        <w:t>    I.   </w:t>
      </w:r>
      <w:r>
        <w:rPr>
          <w:rFonts w:ascii="Times New Roman" w:hAnsi="Times New Roman"/>
          <w:b w:val="false"/>
          <w:i w:val="false"/>
          <w:color w:val="000000"/>
          <w:sz w:val="22"/>
        </w:rPr>
        <w:t>To maintain records as required by these rules (Appendix C contains more information);</w:t>
      </w:r>
    </w:p>
    <w:p>
      <w:pPr>
        <w:spacing w:before="0" w:after="0"/>
        <w:ind w:left="120"/>
        <w:jc w:val="both"/>
      </w:pPr>
      <w:r>
        <w:rPr>
          <w:rFonts w:ascii="Times New Roman" w:hAnsi="Times New Roman"/>
          <w:b w:val="false"/>
          <w:i w:val="false"/>
          <w:color w:val="000000"/>
          <w:sz w:val="22"/>
        </w:rPr>
        <w:t>    J.   </w:t>
      </w:r>
      <w:r>
        <w:rPr>
          <w:rFonts w:ascii="Times New Roman" w:hAnsi="Times New Roman"/>
          <w:b w:val="false"/>
          <w:i w:val="false"/>
          <w:color w:val="000000"/>
          <w:sz w:val="22"/>
        </w:rPr>
        <w:t>To ensure the proper storing, labeling, transport, and use of sources of radiation;</w:t>
      </w:r>
    </w:p>
    <w:p>
      <w:pPr>
        <w:spacing w:before="0" w:after="0"/>
        <w:ind w:left="120"/>
        <w:jc w:val="both"/>
      </w:pPr>
      <w:r>
        <w:rPr>
          <w:rFonts w:ascii="Times New Roman" w:hAnsi="Times New Roman"/>
          <w:b w:val="false"/>
          <w:i w:val="false"/>
          <w:color w:val="000000"/>
          <w:sz w:val="22"/>
        </w:rPr>
        <w:t>    K.   </w:t>
      </w:r>
      <w:r>
        <w:rPr>
          <w:rFonts w:ascii="Times New Roman" w:hAnsi="Times New Roman"/>
          <w:b w:val="false"/>
          <w:i w:val="false"/>
          <w:color w:val="000000"/>
          <w:sz w:val="22"/>
        </w:rPr>
        <w:t>To ensure that quarterly inventory and inspection and maintenance programs are performed in accordance with the requirements of this chapter;</w:t>
      </w:r>
    </w:p>
    <w:p>
      <w:pPr>
        <w:spacing w:before="0" w:after="0"/>
        <w:ind w:left="120"/>
        <w:jc w:val="both"/>
      </w:pPr>
      <w:r>
        <w:rPr>
          <w:rFonts w:ascii="Times New Roman" w:hAnsi="Times New Roman"/>
          <w:b w:val="false"/>
          <w:i w:val="false"/>
          <w:color w:val="000000"/>
          <w:sz w:val="22"/>
        </w:rPr>
        <w:t>    L.   </w:t>
      </w:r>
      <w:r>
        <w:rPr>
          <w:rFonts w:ascii="Times New Roman" w:hAnsi="Times New Roman"/>
          <w:b w:val="false"/>
          <w:i w:val="false"/>
          <w:color w:val="000000"/>
          <w:sz w:val="22"/>
        </w:rPr>
        <w:t>To ensure that personnel are complying with these rules, the conditions of the registration, and the operating and emergency procedures of the registrant; and</w:t>
      </w:r>
    </w:p>
    <w:p>
      <w:pPr>
        <w:spacing w:before="0" w:after="0"/>
        <w:ind w:left="120"/>
        <w:jc w:val="both"/>
      </w:pPr>
      <w:r>
        <w:rPr>
          <w:rFonts w:ascii="Times New Roman" w:hAnsi="Times New Roman"/>
          <w:b w:val="false"/>
          <w:i w:val="false"/>
          <w:color w:val="000000"/>
          <w:sz w:val="22"/>
        </w:rPr>
        <w:t>    M.   </w:t>
      </w:r>
      <w:r>
        <w:rPr>
          <w:rFonts w:ascii="Times New Roman" w:hAnsi="Times New Roman"/>
          <w:b w:val="false"/>
          <w:i w:val="false"/>
          <w:color w:val="000000"/>
          <w:sz w:val="22"/>
        </w:rPr>
        <w:t>To ensure that annual refresher safety training has been provided for each radiographer and radiographer’s assistant at intervals not to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and testing records. Each registrant shall maintain, for agency inspection, training and testing records that demonstrate that the applicable requirements of subparagraphs </w:t>
      </w:r>
      <w:hyperlink r:id="rId65">
        <w:r>
          <w:rPr>
            <w:rStyle w:val="Hyperlink"/>
            <w:rFonts w:ascii="Times New Roman" w:hAnsi="Times New Roman"/>
            <w:b w:val="false"/>
            <w:i w:val="false"/>
            <w:color w:val="000000"/>
            <w:sz w:val="22"/>
          </w:rPr>
          <w:t>39.10(2)</w:t>
        </w:r>
      </w:hyperlink>
      <w:r>
        <w:rPr>
          <w:rFonts w:ascii="Times New Roman" w:hAnsi="Times New Roman"/>
          <w:b w:val="false"/>
          <w:i/>
          <w:color w:val="000000"/>
          <w:sz w:val="22"/>
        </w:rPr>
        <w:t>“g”</w:t>
      </w:r>
      <w:r>
        <w:rPr>
          <w:rFonts w:ascii="Times New Roman" w:hAnsi="Times New Roman"/>
          <w:b w:val="false"/>
          <w:i w:val="false"/>
          <w:color w:val="000000"/>
          <w:sz w:val="22"/>
        </w:rPr>
        <w:t xml:space="preserve">(1) and </w:t>
      </w:r>
      <w:r>
        <w:rPr>
          <w:rFonts w:ascii="Times New Roman" w:hAnsi="Times New Roman"/>
          <w:b w:val="false"/>
          <w:i/>
          <w:color w:val="000000"/>
          <w:sz w:val="22"/>
        </w:rPr>
        <w:t>“g”</w:t>
      </w:r>
      <w:r>
        <w:rPr>
          <w:rFonts w:ascii="Times New Roman" w:hAnsi="Times New Roman"/>
          <w:b w:val="false"/>
          <w:i w:val="false"/>
          <w:color w:val="000000"/>
          <w:sz w:val="22"/>
        </w:rPr>
        <w:t>(2)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of training for all industrial radiographic personnel must include all of the following:</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Personnel certification documents and verification of certification status;</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Copies of written tests;</w:t>
      </w:r>
    </w:p>
    <w:p>
      <w:pPr>
        <w:spacing w:before="0" w:after="0"/>
        <w:ind w:left="120"/>
        <w:jc w:val="both"/>
      </w:pPr>
      <w:r>
        <w:rPr>
          <w:rFonts w:ascii="Times New Roman" w:hAnsi="Times New Roman"/>
          <w:b w:val="false"/>
          <w:i w:val="false"/>
          <w:color w:val="000000"/>
          <w:sz w:val="22"/>
        </w:rPr>
        <w:t>    C.   </w:t>
      </w:r>
      <w:r>
        <w:rPr>
          <w:rFonts w:ascii="Times New Roman" w:hAnsi="Times New Roman"/>
          <w:b w:val="false"/>
          <w:i w:val="false"/>
          <w:color w:val="000000"/>
          <w:sz w:val="22"/>
        </w:rPr>
        <w:t>Dates of oral and practical examinations; and</w:t>
      </w:r>
    </w:p>
    <w:p>
      <w:pPr>
        <w:spacing w:before="0" w:after="0"/>
        <w:ind w:left="120"/>
        <w:jc w:val="both"/>
      </w:pPr>
      <w:r>
        <w:rPr>
          <w:rFonts w:ascii="Times New Roman" w:hAnsi="Times New Roman"/>
          <w:b w:val="false"/>
          <w:i w:val="false"/>
          <w:color w:val="000000"/>
          <w:sz w:val="22"/>
        </w:rPr>
        <w:t>    D.   </w:t>
      </w:r>
      <w:r>
        <w:rPr>
          <w:rFonts w:ascii="Times New Roman" w:hAnsi="Times New Roman"/>
          <w:b w:val="false"/>
          <w:i w:val="false"/>
          <w:color w:val="000000"/>
          <w:sz w:val="22"/>
        </w:rPr>
        <w:t>The names of individuals conducting and receiving the oral and practical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annual refresher training and semiannual inspection of job performance for all industrial radiographic personnel must include all of the following:</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The topics discussed during the refresher safety training;</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The dates the annual refresher safety training was conducted; and</w:t>
      </w:r>
    </w:p>
    <w:p>
      <w:pPr>
        <w:spacing w:before="0" w:after="0"/>
        <w:ind w:left="120"/>
        <w:jc w:val="both"/>
      </w:pPr>
      <w:r>
        <w:rPr>
          <w:rFonts w:ascii="Times New Roman" w:hAnsi="Times New Roman"/>
          <w:b w:val="false"/>
          <w:i w:val="false"/>
          <w:color w:val="000000"/>
          <w:sz w:val="22"/>
        </w:rPr>
        <w:t>    C.   </w:t>
      </w:r>
      <w:r>
        <w:rPr>
          <w:rFonts w:ascii="Times New Roman" w:hAnsi="Times New Roman"/>
          <w:b w:val="false"/>
          <w:i w:val="false"/>
          <w:color w:val="000000"/>
          <w:sz w:val="22"/>
        </w:rPr>
        <w:t>The names of the instructors and attendees.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inspections of job performance, the records must also include a list showing the items checked and any noncompliance observed by the RSO.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shall be maintained until disposal is authorized by the agency. The agency cannot release records for disposal unless the records have been maintained at least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Reciprocity.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Reciprocal recognition by the agency of an individual radiographer certification will be granted provided that all of the following conditions are met:</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The individual holds a valid certification in the appropriate category and class issued by a certifying entity as defined in this chapter;</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 xml:space="preserve">The requirements and procedures of the certifying entity issuing the certification require the same or comparable certification standards as those required by subparagraphs </w:t>
      </w:r>
      <w:hyperlink r:id="rId66">
        <w:r>
          <w:rPr>
            <w:rStyle w:val="Hyperlink"/>
            <w:rFonts w:ascii="Times New Roman" w:hAnsi="Times New Roman"/>
            <w:b w:val="false"/>
            <w:i w:val="false"/>
            <w:color w:val="000000"/>
            <w:sz w:val="22"/>
          </w:rPr>
          <w:t>39.10(2)</w:t>
        </w:r>
      </w:hyperlink>
      <w:r>
        <w:rPr>
          <w:rFonts w:ascii="Times New Roman" w:hAnsi="Times New Roman"/>
          <w:b w:val="false"/>
          <w:i/>
          <w:color w:val="000000"/>
          <w:sz w:val="22"/>
        </w:rPr>
        <w:t>“g”</w:t>
      </w:r>
      <w:r>
        <w:rPr>
          <w:rFonts w:ascii="Times New Roman" w:hAnsi="Times New Roman"/>
          <w:b w:val="false"/>
          <w:i w:val="false"/>
          <w:color w:val="000000"/>
          <w:sz w:val="22"/>
        </w:rPr>
        <w:t xml:space="preserve">(1) through </w:t>
      </w:r>
      <w:r>
        <w:rPr>
          <w:rFonts w:ascii="Times New Roman" w:hAnsi="Times New Roman"/>
          <w:b w:val="false"/>
          <w:i/>
          <w:color w:val="000000"/>
          <w:sz w:val="22"/>
        </w:rPr>
        <w:t>“g”</w:t>
      </w:r>
      <w:r>
        <w:rPr>
          <w:rFonts w:ascii="Times New Roman" w:hAnsi="Times New Roman"/>
          <w:b w:val="false"/>
          <w:i w:val="false"/>
          <w:color w:val="000000"/>
          <w:sz w:val="22"/>
        </w:rPr>
        <w:t>(5); and</w:t>
      </w:r>
    </w:p>
    <w:p>
      <w:pPr>
        <w:spacing w:before="0" w:after="0"/>
        <w:ind w:left="120"/>
        <w:jc w:val="both"/>
      </w:pPr>
      <w:r>
        <w:rPr>
          <w:rFonts w:ascii="Times New Roman" w:hAnsi="Times New Roman"/>
          <w:b w:val="false"/>
          <w:i w:val="false"/>
          <w:color w:val="000000"/>
          <w:sz w:val="22"/>
        </w:rPr>
        <w:t>    C.   </w:t>
      </w:r>
      <w:r>
        <w:rPr>
          <w:rFonts w:ascii="Times New Roman" w:hAnsi="Times New Roman"/>
          <w:b w:val="false"/>
          <w:i w:val="false"/>
          <w:color w:val="000000"/>
          <w:sz w:val="22"/>
        </w:rPr>
        <w:t>The individual submits a legible copy of the certification to the agency prior to entry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Enforcement actions with the agency, another agreement state, or the Commission or any sanctions by an independent certifying entity may be considered when reviewing a request for reciprocal recognition from a licensee, registrant, or certified radiographer.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radiographers who are granted reciprocity by the agency shall maintain the certification upon which the reciprocal recognition was granted or, prior to the expiration of such certification, shall meet the requirements of subparagraph </w:t>
      </w:r>
      <w:hyperlink r:id="rId67">
        <w:r>
          <w:rPr>
            <w:rStyle w:val="Hyperlink"/>
            <w:rFonts w:ascii="Times New Roman" w:hAnsi="Times New Roman"/>
            <w:b w:val="false"/>
            <w:i w:val="false"/>
            <w:color w:val="000000"/>
            <w:sz w:val="22"/>
          </w:rPr>
          <w:t>39.10(2)</w:t>
        </w:r>
      </w:hyperlink>
      <w:r>
        <w:rPr>
          <w:rFonts w:ascii="Times New Roman" w:hAnsi="Times New Roman"/>
          <w:b w:val="false"/>
          <w:i/>
          <w:color w:val="000000"/>
          <w:sz w:val="22"/>
        </w:rPr>
        <w:t>“g”</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Internal audits.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RSO or designee shall conduct an inspection program of the job performance of each radiographer and radiographer’s assistant to ensure that these rules and the registrant’s operating and emergency procedures are followed. The inspection program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 observation of the performance of each radiographer and radiographer’s assistant during an actual industrial radiographic operation, at intervals not to exceed six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that, if a radiographer or radiographer’s assistant has not participated in an industrial radiographic operation for more than six months since the last audit, the radiographer or radiographer’s assistant must demonstrate understanding of the subjects contained in Appendix A of this chapter by a practical examination before the individual can participate in a radiographic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single individual serves as both radiographer and RSO and performs all radiography operations, an inspection program is not required. Alternatives shall be submitted and approved by the department in these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of audits shall be maintained by the licensee or registrant for agency inspection for three years from the date of the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Personnel monitoring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personnel monitoring program shall meet the applicable requirements of rule </w:t>
      </w:r>
      <w:hyperlink r:id="rId68">
        <w:r>
          <w:rPr>
            <w:rStyle w:val="Hyperlink"/>
            <w:rFonts w:ascii="Times New Roman" w:hAnsi="Times New Roman"/>
            <w:b w:val="false"/>
            <w:i w:val="false"/>
            <w:color w:val="000000"/>
            <w:sz w:val="22"/>
          </w:rPr>
          <w:t>641—37.11</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pocket dosimeter readings of personnel exposures and yearly operability checks required in </w:t>
      </w:r>
      <w:r>
        <w:rPr>
          <w:rFonts w:ascii="Times New Roman" w:hAnsi="Times New Roman"/>
          <w:b w:val="false"/>
          <w:i w:val="false"/>
          <w:color w:val="000000"/>
          <w:sz w:val="22"/>
        </w:rPr>
        <w:t>10 CFR 34.47(c)</w:t>
      </w:r>
      <w:r>
        <w:rPr>
          <w:rFonts w:ascii="Times New Roman" w:hAnsi="Times New Roman"/>
          <w:b w:val="false"/>
          <w:i w:val="false"/>
          <w:color w:val="000000"/>
          <w:sz w:val="22"/>
        </w:rPr>
        <w:t xml:space="preserve"> shall be maintained for three years by the licensee or registrant for agency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dosimeter readings were used to determine external radiation dose (i.e., no TLD or film badge exposure records exist), the records shall be maintained for three years after they are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estimates of exposures as a result of off-scale personal direct reading dosimeters, or lost or damaged film badges, OSLs, or TLDs, shall be maintained until the agency terminates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received from the film badge, OSL device or TLD processor shall be kept for inspection by the agency until the agency terminates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Access control. </w:t>
      </w:r>
      <w:r>
        <w:rPr>
          <w:rFonts w:ascii="Times New Roman" w:hAnsi="Times New Roman"/>
          <w:b w:val="false"/>
          <w:i w:val="false"/>
          <w:color w:val="000000"/>
          <w:sz w:val="22"/>
        </w:rPr>
        <w:t xml:space="preserve">During each industrial radiographic operation, a radiographer or radiographer’s assistant shall maintain continuous, direct visual surveillance of the operation to protect against unauthorized entry into a restricted area, radiation area, or high radiation area, except at permanent radiographic installations where all entryways are locked to protect against unauthorized or accidental entry and the requirements of paragraph </w:t>
      </w:r>
      <w:hyperlink r:id="rId69">
        <w:r>
          <w:rPr>
            <w:rStyle w:val="Hyperlink"/>
            <w:rFonts w:ascii="Times New Roman" w:hAnsi="Times New Roman"/>
            <w:b w:val="false"/>
            <w:i w:val="false"/>
            <w:color w:val="000000"/>
            <w:sz w:val="22"/>
          </w:rPr>
          <w:t>39.10(2)</w:t>
        </w:r>
      </w:hyperlink>
      <w:r>
        <w:rPr>
          <w:rFonts w:ascii="Times New Roman" w:hAnsi="Times New Roman"/>
          <w:b w:val="false"/>
          <w:i/>
          <w:color w:val="000000"/>
          <w:sz w:val="22"/>
        </w:rPr>
        <w:t>“f”</w:t>
      </w:r>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Posting.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provisions in </w:t>
      </w:r>
      <w:hyperlink r:id="rId70">
        <w:r>
          <w:rPr>
            <w:rStyle w:val="Hyperlink"/>
            <w:rFonts w:ascii="Times New Roman" w:hAnsi="Times New Roman"/>
            <w:b w:val="false"/>
            <w:i w:val="false"/>
            <w:color w:val="000000"/>
            <w:sz w:val="22"/>
          </w:rPr>
          <w:t>641—subrule 37.11(21)</w:t>
        </w:r>
      </w:hyperlink>
      <w:r>
        <w:rPr>
          <w:rFonts w:ascii="Times New Roman" w:hAnsi="Times New Roman"/>
          <w:b w:val="false"/>
          <w:i w:val="false"/>
          <w:color w:val="000000"/>
          <w:sz w:val="22"/>
        </w:rPr>
        <w:t xml:space="preserve">, areas in which radiography is being performed shall be conspicuously posted as required by 641—paragraphs </w:t>
      </w:r>
      <w:hyperlink r:id="rId71">
        <w:r>
          <w:rPr>
            <w:rStyle w:val="Hyperlink"/>
            <w:rFonts w:ascii="Times New Roman" w:hAnsi="Times New Roman"/>
            <w:b w:val="false"/>
            <w:i w:val="false"/>
            <w:color w:val="000000"/>
            <w:sz w:val="22"/>
          </w:rPr>
          <w:t>37.11(20)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practicable, ropes or barriers shall be used in addition to appropriate signs to designate areas in accordance with </w:t>
      </w:r>
      <w:hyperlink r:id="rId72">
        <w:r>
          <w:rPr>
            <w:rStyle w:val="Hyperlink"/>
            <w:rFonts w:ascii="Times New Roman" w:hAnsi="Times New Roman"/>
            <w:b w:val="false"/>
            <w:i w:val="false"/>
            <w:color w:val="000000"/>
            <w:sz w:val="22"/>
          </w:rPr>
          <w:t>641—subrule 37.11(20)</w:t>
        </w:r>
      </w:hyperlink>
      <w:r>
        <w:rPr>
          <w:rFonts w:ascii="Times New Roman" w:hAnsi="Times New Roman"/>
          <w:b w:val="false"/>
          <w:i w:val="false"/>
          <w:color w:val="000000"/>
          <w:sz w:val="22"/>
        </w:rPr>
        <w:t xml:space="preserve"> and to help prevent unauthorized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subparagraph </w:t>
      </w:r>
      <w:hyperlink r:id="rId73">
        <w:r>
          <w:rPr>
            <w:rStyle w:val="Hyperlink"/>
            <w:rFonts w:ascii="Times New Roman" w:hAnsi="Times New Roman"/>
            <w:b w:val="false"/>
            <w:i w:val="false"/>
            <w:color w:val="000000"/>
            <w:sz w:val="22"/>
          </w:rPr>
          <w:t>39.10(2)</w:t>
        </w:r>
      </w:hyperlink>
      <w:r>
        <w:rPr>
          <w:rFonts w:ascii="Times New Roman" w:hAnsi="Times New Roman"/>
          <w:b w:val="false"/>
          <w:i/>
          <w:color w:val="000000"/>
          <w:sz w:val="22"/>
        </w:rPr>
        <w:t>“k”</w:t>
      </w:r>
      <w:r>
        <w:rPr>
          <w:rFonts w:ascii="Times New Roman" w:hAnsi="Times New Roman"/>
          <w:b w:val="false"/>
          <w:i w:val="false"/>
          <w:color w:val="000000"/>
          <w:sz w:val="22"/>
        </w:rPr>
        <w:t xml:space="preserve">(1), a restricted area may be established in accordance with </w:t>
      </w:r>
      <w:hyperlink r:id="rId74">
        <w:r>
          <w:rPr>
            <w:rStyle w:val="Hyperlink"/>
            <w:rFonts w:ascii="Times New Roman" w:hAnsi="Times New Roman"/>
            <w:b w:val="false"/>
            <w:i w:val="false"/>
            <w:color w:val="000000"/>
            <w:sz w:val="22"/>
          </w:rPr>
          <w:t>641—subrule 37.11(20)</w:t>
        </w:r>
      </w:hyperlink>
      <w:r>
        <w:rPr>
          <w:rFonts w:ascii="Times New Roman" w:hAnsi="Times New Roman"/>
          <w:b w:val="false"/>
          <w:i w:val="false"/>
          <w:color w:val="000000"/>
          <w:sz w:val="22"/>
        </w:rPr>
        <w:t xml:space="preserve"> and may be posted in accordance with 641—paragraphs </w:t>
      </w:r>
      <w:hyperlink r:id="rId75">
        <w:r>
          <w:rPr>
            <w:rStyle w:val="Hyperlink"/>
            <w:rFonts w:ascii="Times New Roman" w:hAnsi="Times New Roman"/>
            <w:b w:val="false"/>
            <w:i w:val="false"/>
            <w:color w:val="000000"/>
            <w:sz w:val="22"/>
          </w:rPr>
          <w:t>37.11(20)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i.e., both signs may be posted at the same location at the boundary of the restricted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Temporary job site requirements. </w:t>
      </w:r>
      <w:r>
        <w:rPr>
          <w:rFonts w:ascii="Times New Roman" w:hAnsi="Times New Roman"/>
          <w:b w:val="false"/>
          <w:i w:val="false"/>
          <w:color w:val="000000"/>
          <w:sz w:val="22"/>
        </w:rPr>
        <w:t>Each registrant conducting industrial radiography at a temporary job site shall have the following records available at that site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certificate of registration or equivalent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appropriate operating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agency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Survey records required pursuant to subparagraph </w:t>
      </w:r>
      <w:hyperlink r:id="rId76">
        <w:r>
          <w:rPr>
            <w:rStyle w:val="Hyperlink"/>
            <w:rFonts w:ascii="Times New Roman" w:hAnsi="Times New Roman"/>
            <w:b w:val="false"/>
            <w:i w:val="false"/>
            <w:color w:val="000000"/>
            <w:sz w:val="22"/>
          </w:rPr>
          <w:t>39.10(3)</w:t>
        </w:r>
      </w:hyperlink>
      <w:r>
        <w:rPr>
          <w:rFonts w:ascii="Times New Roman" w:hAnsi="Times New Roman"/>
          <w:b w:val="false"/>
          <w:i/>
          <w:color w:val="000000"/>
          <w:sz w:val="22"/>
        </w:rPr>
        <w:t>“e”</w:t>
      </w:r>
      <w:r>
        <w:rPr>
          <w:rFonts w:ascii="Times New Roman" w:hAnsi="Times New Roman"/>
          <w:b w:val="false"/>
          <w:i w:val="false"/>
          <w:color w:val="000000"/>
          <w:sz w:val="22"/>
        </w:rPr>
        <w:t>(4) for the period of operation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Notifications.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shall be notified of thefts or losses of sources of radiation, overexposures, and excessive levels in accordance with </w:t>
      </w:r>
      <w:hyperlink r:id="rId77">
        <w:r>
          <w:rPr>
            <w:rStyle w:val="Hyperlink"/>
            <w:rFonts w:ascii="Times New Roman" w:hAnsi="Times New Roman"/>
            <w:b w:val="false"/>
            <w:i w:val="false"/>
            <w:color w:val="000000"/>
            <w:sz w:val="22"/>
          </w:rPr>
          <w:t>641—subrule 37.13(1)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10 CFR 20.2203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registrant shall submit a written report within 30 days to the department whenever one of the following events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indicator on a radiation-producing machine fails to show that radiation is being produced;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exposure switch fails to terminate production of radiation when turned to the off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include the following information in each report submitted in accordance with </w:t>
      </w:r>
      <w:r>
        <w:rPr>
          <w:rFonts w:ascii="Times New Roman" w:hAnsi="Times New Roman"/>
          <w:b w:val="false"/>
          <w:i w:val="false"/>
          <w:color w:val="000000"/>
          <w:sz w:val="22"/>
        </w:rPr>
        <w:t>10 CFR 34.101</w:t>
      </w:r>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641—subrule 37.13(4)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name and license or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prescribing physician,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event, including:</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The probable cause;</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The manufacturer and model number (if applicable) of any equipment that failed or malfunctioned;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and time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isotopes, quantities, and chemical and physical form of the licensed material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Corrective actions taken or planned to prevent recurrence and the results of any evaluations or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extent of exposure of individuals to radiation or to radioactive materials, without identification of individuals by name, and the effect, if any, on the individual(s) who received the administration or exposure;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licensee or registrant notified the individual or the individual’s responsible relative or legal guardian and the referring physician in compliance with the requirements of this chapter and, if not, why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Copies of operating and emergency procedures. </w:t>
      </w:r>
      <w:r>
        <w:rPr>
          <w:rFonts w:ascii="Times New Roman" w:hAnsi="Times New Roman"/>
          <w:b w:val="false"/>
          <w:i w:val="false"/>
          <w:color w:val="000000"/>
          <w:sz w:val="22"/>
        </w:rPr>
        <w:t>Each registrant shall maintain a copy of current operating and emergency procedures until the agency terminates the license. Superseded material must be retained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39.10(3)</w:t>
      </w:r>
      <w:r>
        <w:rPr>
          <w:rFonts w:ascii="Times New Roman" w:hAnsi="Times New Roman"/>
          <w:b w:val="false"/>
          <w:i w:val="false"/>
          <w:color w:val="000000"/>
          <w:sz w:val="22"/>
        </w:rPr>
        <w:t> </w:t>
      </w:r>
      <w:r>
        <w:rPr>
          <w:rFonts w:ascii="Times New Roman" w:hAnsi="Times New Roman"/>
          <w:b w:val="false"/>
          <w:i/>
          <w:color w:val="000000"/>
          <w:sz w:val="22"/>
        </w:rPr>
        <w:t xml:space="preserve">Radiation safety requirements for the use of radiation machines in industrial radiography. </w:t>
      </w:r>
      <w:r>
        <w:rPr>
          <w:rFonts w:ascii="Times New Roman" w:hAnsi="Times New Roman"/>
          <w:b w:val="false"/>
          <w:i w:val="false"/>
          <w:color w:val="000000"/>
          <w:sz w:val="22"/>
        </w:rPr>
        <w:t xml:space="preserve">The requirements of this subrule are in addition to, and not in substitution for, other applicable requirements of 10 CFR 34,  </w:t>
      </w:r>
      <w:hyperlink r:id="rId79">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 and this chapter. These rules apply to all licensees or registrants who use radiation for industrial or nonhuman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Locking of sources of radiation. </w:t>
      </w:r>
      <w:r>
        <w:rPr>
          <w:rFonts w:ascii="Times New Roman" w:hAnsi="Times New Roman"/>
          <w:b w:val="false"/>
          <w:i w:val="false"/>
          <w:color w:val="000000"/>
          <w:sz w:val="22"/>
        </w:rPr>
        <w:t>The control panel of each radiation machine shall be equipped with a locking device that will prevent the unauthorized use of an X-ray system or the accidental production of radiation. The radiation machine shall be kept locked and the key removed at all times, except when under the direct visual surveillance of a radiographer.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Permanent storage precautions. </w:t>
      </w:r>
      <w:r>
        <w:rPr>
          <w:rFonts w:ascii="Times New Roman" w:hAnsi="Times New Roman"/>
          <w:b w:val="false"/>
          <w:i w:val="false"/>
          <w:color w:val="000000"/>
          <w:sz w:val="22"/>
        </w:rPr>
        <w:t>Radiation machines shall be secured while in storage to prevent tampering or removal by unauthorized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radiation machines used in industrial radiographic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used in industrial radiographic operations involving radiation machines manufactured after January 1, 1992, shall be certified at the time of manufacture to meet the criteria set forth by ANSI N537-1976.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registrant’s name and city or town where the main business office is located shall be prominently displayed with a durable, clearly visible label(s) on all vehicles used to transport radiation machines for temporary job site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Operating and emergency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registrant’s operating and emergency procedures shall include instructions in,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Operation and safety instruction on the radiation machine(s)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Methods and occasions for conducting radiation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for controlling access to radiographic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Methods and occasions for locking and securing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Personnel monitoring and the use of personnel monitoring equipment, including steps that must be taken immediately by radiography personnel in the event a pocket dosimeter is found to be off-scale;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Minimizing exposure of individuals in the event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procedure for notifying proper personnel in the event of an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Maintenance of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Inspection and maintenance of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registrant shall provide, as a minimum, two radiographic personnel when radiation machines are used for any industrial radiography conducted other than at a permanent radiographic installation (shielded room, bay, or bunker). If one of the personnel is a radiographer’s assistant, the other shall be a radiographer trainer authorized by the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individual other than a radiographer or a radiographer’s assistant who is under the direct supervision of a radiographer trainer shall manipulate controls or operate equipment used in industrial radiographic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Radiation surveys and survey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radiographic operation shall be conducted unless calibrated and operable radiation survey instrumentation, as described in paragraph </w:t>
      </w:r>
      <w:hyperlink r:id="rId80">
        <w:r>
          <w:rPr>
            <w:rStyle w:val="Hyperlink"/>
            <w:rFonts w:ascii="Times New Roman" w:hAnsi="Times New Roman"/>
            <w:b w:val="false"/>
            <w:i w:val="false"/>
            <w:color w:val="000000"/>
            <w:sz w:val="22"/>
          </w:rPr>
          <w:t>39.10(2)</w:t>
        </w:r>
      </w:hyperlink>
      <w:r>
        <w:rPr>
          <w:rFonts w:ascii="Times New Roman" w:hAnsi="Times New Roman"/>
          <w:b w:val="false"/>
          <w:i/>
          <w:color w:val="000000"/>
          <w:sz w:val="22"/>
        </w:rPr>
        <w:t>“c,”</w:t>
      </w:r>
      <w:r>
        <w:rPr>
          <w:rFonts w:ascii="Times New Roman" w:hAnsi="Times New Roman"/>
          <w:b w:val="false"/>
          <w:i w:val="false"/>
          <w:color w:val="000000"/>
          <w:sz w:val="22"/>
        </w:rPr>
        <w:t xml:space="preserve"> is available and used at each site where radiographic exposures are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physical radiation survey shall be made after each radiographic exposure using radiation machines to determine that the machine is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All potential radiation areas where industrial radiographic operations are to be performed shall be posted in accordance with paragraph </w:t>
      </w:r>
      <w:hyperlink r:id="rId81">
        <w:r>
          <w:rPr>
            <w:rStyle w:val="Hyperlink"/>
            <w:rFonts w:ascii="Times New Roman" w:hAnsi="Times New Roman"/>
            <w:b w:val="false"/>
            <w:i w:val="false"/>
            <w:color w:val="000000"/>
            <w:sz w:val="22"/>
          </w:rPr>
          <w:t>39.10(2)</w:t>
        </w:r>
      </w:hyperlink>
      <w:r>
        <w:rPr>
          <w:rFonts w:ascii="Times New Roman" w:hAnsi="Times New Roman"/>
          <w:b w:val="false"/>
          <w:i/>
          <w:color w:val="000000"/>
          <w:sz w:val="22"/>
        </w:rPr>
        <w:t>“c,”</w:t>
      </w:r>
      <w:r>
        <w:rPr>
          <w:rFonts w:ascii="Times New Roman" w:hAnsi="Times New Roman"/>
          <w:b w:val="false"/>
          <w:i w:val="false"/>
          <w:color w:val="000000"/>
          <w:sz w:val="22"/>
        </w:rPr>
        <w:t xml:space="preserve"> based on calculated dose rates, before industrial radiographic operations begin. An area survey shall be performed during the first radiographic exposure to confirm that paragraph </w:t>
      </w:r>
      <w:hyperlink r:id="rId82">
        <w:r>
          <w:rPr>
            <w:rStyle w:val="Hyperlink"/>
            <w:rFonts w:ascii="Times New Roman" w:hAnsi="Times New Roman"/>
            <w:b w:val="false"/>
            <w:i w:val="false"/>
            <w:color w:val="000000"/>
            <w:sz w:val="22"/>
          </w:rPr>
          <w:t>39.10(2)</w:t>
        </w:r>
      </w:hyperlink>
      <w:r>
        <w:rPr>
          <w:rFonts w:ascii="Times New Roman" w:hAnsi="Times New Roman"/>
          <w:b w:val="false"/>
          <w:i/>
          <w:color w:val="000000"/>
          <w:sz w:val="22"/>
        </w:rPr>
        <w:t>“c”</w:t>
      </w:r>
      <w:r>
        <w:rPr>
          <w:rFonts w:ascii="Times New Roman" w:hAnsi="Times New Roman"/>
          <w:b w:val="false"/>
          <w:i w:val="false"/>
          <w:color w:val="000000"/>
          <w:sz w:val="22"/>
        </w:rPr>
        <w:t xml:space="preserve"> requirements have been met and that unrestricted areas do not have radiation levels in excess of the limits specified in </w:t>
      </w:r>
      <w:hyperlink r:id="rId83">
        <w:r>
          <w:rPr>
            <w:rStyle w:val="Hyperlink"/>
            <w:rFonts w:ascii="Times New Roman" w:hAnsi="Times New Roman"/>
            <w:b w:val="false"/>
            <w:i w:val="false"/>
            <w:color w:val="000000"/>
            <w:sz w:val="22"/>
          </w:rPr>
          <w:t>641—subparagraph 37.11(11)</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shall be kept of the surveys required by subparagraphs </w:t>
      </w:r>
      <w:hyperlink r:id="rId84">
        <w:r>
          <w:rPr>
            <w:rStyle w:val="Hyperlink"/>
            <w:rFonts w:ascii="Times New Roman" w:hAnsi="Times New Roman"/>
            <w:b w:val="false"/>
            <w:i w:val="false"/>
            <w:color w:val="000000"/>
            <w:sz w:val="22"/>
          </w:rPr>
          <w:t>39.10(3)</w:t>
        </w:r>
      </w:hyperlink>
      <w:r>
        <w:rPr>
          <w:rFonts w:ascii="Times New Roman" w:hAnsi="Times New Roman"/>
          <w:b w:val="false"/>
          <w:i/>
          <w:color w:val="000000"/>
          <w:sz w:val="22"/>
        </w:rPr>
        <w:t>“e”</w:t>
      </w:r>
      <w:r>
        <w:rPr>
          <w:rFonts w:ascii="Times New Roman" w:hAnsi="Times New Roman"/>
          <w:b w:val="false"/>
          <w:i w:val="false"/>
          <w:color w:val="000000"/>
          <w:sz w:val="22"/>
        </w:rPr>
        <w:t xml:space="preserve">(1) and </w:t>
      </w:r>
      <w:r>
        <w:rPr>
          <w:rFonts w:ascii="Times New Roman" w:hAnsi="Times New Roman"/>
          <w:b w:val="false"/>
          <w:i/>
          <w:color w:val="000000"/>
          <w:sz w:val="22"/>
        </w:rPr>
        <w:t>“e”</w:t>
      </w:r>
      <w:r>
        <w:rPr>
          <w:rFonts w:ascii="Times New Roman" w:hAnsi="Times New Roman"/>
          <w:b w:val="false"/>
          <w:i w:val="false"/>
          <w:color w:val="000000"/>
          <w:sz w:val="22"/>
        </w:rPr>
        <w:t>(2). Such records shall be maintained for inspection by the agency for three years after completion of the survey. If the survey was used to determine an individual’s exposure, however, the records of the survey shall be maintained until the agency authorizes their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Special requirements and exemptions for enclosed radiography.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Systems for enclosed radiography, including shielded-room radiography and cabinet radiography, designed to allow admittance of individuals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all applicable requirements of this chapter and </w:t>
      </w:r>
      <w:hyperlink r:id="rId85">
        <w:r>
          <w:rPr>
            <w:rStyle w:val="Hyperlink"/>
            <w:rFonts w:ascii="Times New Roman" w:hAnsi="Times New Roman"/>
            <w:b w:val="false"/>
            <w:i w:val="false"/>
            <w:color w:val="000000"/>
            <w:sz w:val="22"/>
          </w:rPr>
          <w:t>641—subparagraph 37.11(11)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If such a system is a certified cabinet X-ray system, it shall comply with all applicable requirements of this chapter and </w:t>
      </w:r>
      <w:r>
        <w:rPr>
          <w:rFonts w:ascii="Times New Roman" w:hAnsi="Times New Roman"/>
          <w:b w:val="false"/>
          <w:i w:val="false"/>
          <w:color w:val="000000"/>
          <w:sz w:val="22"/>
        </w:rPr>
        <w:t>21 CFR 1020.40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evaluated at intervals not to exceed one year to ensure compliance with the applicable requirements as specified in </w:t>
      </w:r>
      <w:hyperlink r:id="rId86">
        <w:r>
          <w:rPr>
            <w:rStyle w:val="Hyperlink"/>
            <w:rFonts w:ascii="Times New Roman" w:hAnsi="Times New Roman"/>
            <w:b w:val="false"/>
            <w:i w:val="false"/>
            <w:color w:val="000000"/>
            <w:sz w:val="22"/>
          </w:rPr>
          <w:t>641—subparagraph 37.11(11)</w:t>
        </w:r>
      </w:hyperlink>
      <w:r>
        <w:rPr>
          <w:rFonts w:ascii="Times New Roman" w:hAnsi="Times New Roman"/>
          <w:b w:val="false"/>
          <w:i/>
          <w:color w:val="000000"/>
          <w:sz w:val="22"/>
        </w:rPr>
        <w:t>“a”</w:t>
      </w:r>
      <w:r>
        <w:rPr>
          <w:rFonts w:ascii="Times New Roman" w:hAnsi="Times New Roman"/>
          <w:b w:val="false"/>
          <w:i w:val="false"/>
          <w:color w:val="000000"/>
          <w:sz w:val="22"/>
        </w:rPr>
        <w:t>(1). Records of these evaluations shall be maintained for inspection by the agency for a period of three years after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and certifiable cabinet X-ray systems are exempt from the requirements of this chapter,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Operating personnel must be provided with individual monitoring devices in accordance with the appropriate provisions of </w:t>
      </w:r>
      <w:hyperlink r:id="rId87">
        <w:r>
          <w:rPr>
            <w:rStyle w:val="Hyperlink"/>
            <w:rFonts w:ascii="Times New Roman" w:hAnsi="Times New Roman"/>
            <w:b w:val="false"/>
            <w:i w:val="false"/>
            <w:color w:val="000000"/>
            <w:sz w:val="22"/>
          </w:rPr>
          <w:t>641—subrule 37.11(14)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registrant shall permit any individual to operate a cabinet X-ray system until such individual has received a copy of, and instruction in, the operating procedures for the unit and has demonstrated competence in its use. Records that demonstrate compliance with this subparagraph shall be maintained for inspection by the agency until disposition is authorized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Tests for proper operation of interlocks used to control entry to the high radiation area or alarm systems, where applicable, shall be conducted and recorded every three months. Records of these tests shall be maintained for agency inspection until disposal is authorized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registrant shall perform an evaluation, at intervals not to exceed one year, to determine conformance with </w:t>
      </w:r>
      <w:hyperlink r:id="rId88">
        <w:r>
          <w:rPr>
            <w:rStyle w:val="Hyperlink"/>
            <w:rFonts w:ascii="Times New Roman" w:hAnsi="Times New Roman"/>
            <w:b w:val="false"/>
            <w:i w:val="false"/>
            <w:color w:val="000000"/>
            <w:sz w:val="22"/>
          </w:rPr>
          <w:t>641—subparagraph 37.11(11)</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 xml:space="preserve">If such a system is a certified cabinet X-ray system, it shall be evaluated at intervals not to exceed one year to determine conformance with </w:t>
      </w:r>
      <w:r>
        <w:rPr>
          <w:rFonts w:ascii="Times New Roman" w:hAnsi="Times New Roman"/>
          <w:b w:val="false"/>
          <w:i w:val="false"/>
          <w:color w:val="000000"/>
          <w:sz w:val="22"/>
        </w:rPr>
        <w:t>21 CFR 1020.40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Records of these evaluations shall be maintained for inspection by the agency for a period of three years after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cabinet X-ray systems shall be maintained in compliance with </w:t>
      </w:r>
      <w:r>
        <w:rPr>
          <w:rFonts w:ascii="Times New Roman" w:hAnsi="Times New Roman"/>
          <w:b w:val="false"/>
          <w:i w:val="false"/>
          <w:color w:val="000000"/>
          <w:sz w:val="22"/>
        </w:rPr>
        <w:t>21 CFR 1020.40</w:t>
      </w:r>
      <w:r>
        <w:rPr>
          <w:rFonts w:ascii="Times New Roman" w:hAnsi="Times New Roman"/>
          <w:b w:val="false"/>
          <w:i w:val="false"/>
          <w:color w:val="000000"/>
          <w:sz w:val="22"/>
        </w:rPr>
        <w:t xml:space="preserve"> unless prior approval has been granted by the agency pursuant to </w:t>
      </w:r>
      <w:hyperlink r:id="rId89">
        <w:r>
          <w:rPr>
            <w:rStyle w:val="Hyperlink"/>
            <w:rFonts w:ascii="Times New Roman" w:hAnsi="Times New Roman"/>
            <w:b w:val="false"/>
            <w:i w:val="false"/>
            <w:color w:val="000000"/>
            <w:sz w:val="22"/>
          </w:rPr>
          <w:t>641—subrule 37.3(1)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industrial radiographic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receive, possess, use, transfer, own, or acquire an analytical X-ray device, except as authorized by a registration issued in accordance with rule </w:t>
      </w:r>
      <w:hyperlink r:id="rId90">
        <w:r>
          <w:rPr>
            <w:rStyle w:val="Hyperlink"/>
            <w:rFonts w:ascii="Times New Roman" w:hAnsi="Times New Roman"/>
            <w:b w:val="false"/>
            <w:i w:val="false"/>
            <w:color w:val="000000"/>
            <w:sz w:val="22"/>
          </w:rPr>
          <w:t>641—37.8</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industrial radiography device shall be registered in accordance with the requirements of </w:t>
      </w:r>
      <w:hyperlink r:id="rId91">
        <w:r>
          <w:rPr>
            <w:rStyle w:val="Hyperlink"/>
            <w:rFonts w:ascii="Times New Roman" w:hAnsi="Times New Roman"/>
            <w:b w:val="false"/>
            <w:i w:val="false"/>
            <w:color w:val="000000"/>
            <w:sz w:val="22"/>
          </w:rPr>
          <w:t>641—subrule 37.8(2)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registration requirements of </w:t>
      </w:r>
      <w:hyperlink r:id="rId92">
        <w:r>
          <w:rPr>
            <w:rStyle w:val="Hyperlink"/>
            <w:rFonts w:ascii="Times New Roman" w:hAnsi="Times New Roman"/>
            <w:b w:val="false"/>
            <w:i w:val="false"/>
            <w:color w:val="000000"/>
            <w:sz w:val="22"/>
          </w:rPr>
          <w:t>641—subrule 37.8(2)</w:t>
        </w:r>
      </w:hyperlink>
      <w:r>
        <w:rPr>
          <w:rFonts w:ascii="Times New Roman" w:hAnsi="Times New Roman"/>
          <w:b w:val="false"/>
          <w:i w:val="false"/>
          <w:color w:val="000000"/>
          <w:sz w:val="22"/>
        </w:rPr>
        <w:t>, an application for a certificate of registration shall include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schedule or description of the program for training radiographic personnel that specifies:</w:t>
      </w:r>
    </w:p>
    <w:p>
      <w:pPr>
        <w:spacing w:before="0" w:after="0"/>
        <w:ind w:left="120"/>
        <w:jc w:val="both"/>
      </w:pPr>
      <w:r>
        <w:rPr>
          <w:rFonts w:ascii="Times New Roman" w:hAnsi="Times New Roman"/>
          <w:b w:val="false"/>
          <w:i w:val="false"/>
          <w:color w:val="000000"/>
          <w:sz w:val="22"/>
        </w:rPr>
        <w:t>    A.   </w:t>
      </w:r>
      <w:r>
        <w:rPr>
          <w:rFonts w:ascii="Times New Roman" w:hAnsi="Times New Roman"/>
          <w:b w:val="false"/>
          <w:i w:val="false"/>
          <w:color w:val="000000"/>
          <w:sz w:val="22"/>
        </w:rPr>
        <w:t>Initial training,</w:t>
      </w:r>
    </w:p>
    <w:p>
      <w:pPr>
        <w:spacing w:before="0" w:after="0"/>
        <w:ind w:left="120"/>
        <w:jc w:val="both"/>
      </w:pPr>
      <w:r>
        <w:rPr>
          <w:rFonts w:ascii="Times New Roman" w:hAnsi="Times New Roman"/>
          <w:b w:val="false"/>
          <w:i w:val="false"/>
          <w:color w:val="000000"/>
          <w:sz w:val="22"/>
        </w:rPr>
        <w:t>    B.   </w:t>
      </w:r>
      <w:r>
        <w:rPr>
          <w:rFonts w:ascii="Times New Roman" w:hAnsi="Times New Roman"/>
          <w:b w:val="false"/>
          <w:i w:val="false"/>
          <w:color w:val="000000"/>
          <w:sz w:val="22"/>
        </w:rPr>
        <w:t>Periodic training,</w:t>
      </w:r>
    </w:p>
    <w:p>
      <w:pPr>
        <w:spacing w:before="0" w:after="0"/>
        <w:ind w:left="120"/>
        <w:jc w:val="both"/>
      </w:pPr>
      <w:r>
        <w:rPr>
          <w:rFonts w:ascii="Times New Roman" w:hAnsi="Times New Roman"/>
          <w:b w:val="false"/>
          <w:i w:val="false"/>
          <w:color w:val="000000"/>
          <w:sz w:val="22"/>
        </w:rPr>
        <w:t>    C.   </w:t>
      </w:r>
      <w:r>
        <w:rPr>
          <w:rFonts w:ascii="Times New Roman" w:hAnsi="Times New Roman"/>
          <w:b w:val="false"/>
          <w:i w:val="false"/>
          <w:color w:val="000000"/>
          <w:sz w:val="22"/>
        </w:rPr>
        <w:t>On-the-job training, and</w:t>
      </w:r>
    </w:p>
    <w:p>
      <w:pPr>
        <w:spacing w:before="0" w:after="0"/>
        <w:ind w:left="120"/>
        <w:jc w:val="both"/>
      </w:pPr>
      <w:r>
        <w:rPr>
          <w:rFonts w:ascii="Times New Roman" w:hAnsi="Times New Roman"/>
          <w:b w:val="false"/>
          <w:i w:val="false"/>
          <w:color w:val="000000"/>
          <w:sz w:val="22"/>
        </w:rPr>
        <w:t>    D.   </w:t>
      </w:r>
      <w:r>
        <w:rPr>
          <w:rFonts w:ascii="Times New Roman" w:hAnsi="Times New Roman"/>
          <w:b w:val="false"/>
          <w:i w:val="false"/>
          <w:color w:val="000000"/>
          <w:sz w:val="22"/>
        </w:rPr>
        <w:t>Methods to be used by the registrant to determine the knowledge, understanding, and ability of radiographic personnel to comply with agency rules, registration requirements, and the operating and emergency procedures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operating and emergency procedures, including all items listed in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internal inspection system or other management control to ensure that radiographic personnel follow registration provisions, rules of the agency, and the applicant’s operating and emergency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list of permanent radiographic installations and descriptions of permanent storage and use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organization of the industrial radiographic program, including delegations of authority and responsibility for operation of the radiation safety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certificate of registration will be issued if the requirements of rule </w:t>
      </w:r>
      <w:hyperlink r:id="rId93">
        <w:r>
          <w:rPr>
            <w:rStyle w:val="Hyperlink"/>
            <w:rFonts w:ascii="Times New Roman" w:hAnsi="Times New Roman"/>
            <w:b w:val="false"/>
            <w:i w:val="false"/>
            <w:color w:val="000000"/>
            <w:sz w:val="22"/>
          </w:rPr>
          <w:t>641—37.8</w:t>
        </w:r>
      </w:hyperlink>
      <w:r>
        <w:rPr>
          <w:rFonts w:ascii="Times New Roman" w:hAnsi="Times New Roman"/>
          <w:b w:val="false"/>
          <w:i w:val="false"/>
          <w:color w:val="000000"/>
          <w:sz w:val="22"/>
        </w:rPr>
        <w:t>(136C) and this subrule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641—39.11</w:t>
      </w:r>
      <w:r>
        <w:rPr>
          <w:rFonts w:ascii="Times New Roman" w:hAnsi="Times New Roman"/>
          <w:b/>
          <w:i w:val="false"/>
          <w:color w:val="000000"/>
          <w:sz w:val="22"/>
        </w:rPr>
        <w:t xml:space="preserve">(136C) </w:t>
      </w:r>
      <w:r>
        <w:rPr>
          <w:rFonts w:ascii="Times New Roman" w:hAnsi="Times New Roman"/>
          <w:b/>
          <w:i w:val="false"/>
          <w:color w:val="000000"/>
          <w:sz w:val="22"/>
        </w:rPr>
        <w:t xml:space="preserve">Medical use of byproduct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35</w:t>
      </w:r>
      <w:r>
        <w:rPr>
          <w:rFonts w:ascii="Times New Roman" w:hAnsi="Times New Roman"/>
          <w:b w:val="false"/>
          <w:i w:val="false"/>
          <w:color w:val="000000"/>
          <w:sz w:val="22"/>
        </w:rPr>
        <w:t>, “Medical Use of Byproduct Material,”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35</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35.8</w:t>
      </w:r>
      <w:r>
        <w:rPr>
          <w:rFonts w:ascii="Times New Roman" w:hAnsi="Times New Roman"/>
          <w:b w:val="false"/>
          <w:i w:val="false"/>
          <w:color w:val="000000"/>
          <w:sz w:val="22"/>
        </w:rPr>
        <w:t>, 35.10, 35.11(c)(1), 35.11(c)(2), 35.13(a)(1), 35.13(a)(2), 35.13(b)(5), 35.4001, and 35.4002.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35.6(c)</w:t>
      </w:r>
      <w:r>
        <w:rPr>
          <w:rFonts w:ascii="Times New Roman" w:hAnsi="Times New Roman"/>
          <w:b w:val="false"/>
          <w:i w:val="false"/>
          <w:color w:val="000000"/>
          <w:sz w:val="22"/>
        </w:rPr>
        <w:t>, 35.13(b)(4)(i), 35.57(c), 35.3045(g), 35.3047(f)(1), and 35.3204(a),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Operations Center” appear in </w:t>
      </w:r>
      <w:r>
        <w:rPr>
          <w:rFonts w:ascii="Times New Roman" w:hAnsi="Times New Roman"/>
          <w:b w:val="false"/>
          <w:i w:val="false"/>
          <w:color w:val="000000"/>
          <w:sz w:val="22"/>
        </w:rPr>
        <w:t>10 CFR 35.3045(c)</w:t>
      </w:r>
      <w:r>
        <w:rPr>
          <w:rFonts w:ascii="Times New Roman" w:hAnsi="Times New Roman"/>
          <w:b w:val="false"/>
          <w:i w:val="false"/>
          <w:color w:val="000000"/>
          <w:sz w:val="22"/>
        </w:rPr>
        <w:t>, 35.3047(c), and 35.3204(a),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“The commercial telephone number of the NRC Operations Center is (301) 816–5100” appear in the footnote of </w:t>
      </w:r>
      <w:r>
        <w:rPr>
          <w:rFonts w:ascii="Times New Roman" w:hAnsi="Times New Roman"/>
          <w:b w:val="false"/>
          <w:i w:val="false"/>
          <w:color w:val="000000"/>
          <w:sz w:val="22"/>
        </w:rPr>
        <w:t>10 CFR 35.3045</w:t>
      </w:r>
      <w:r>
        <w:rPr>
          <w:rFonts w:ascii="Times New Roman" w:hAnsi="Times New Roman"/>
          <w:b w:val="false"/>
          <w:i w:val="false"/>
          <w:color w:val="000000"/>
          <w:sz w:val="22"/>
        </w:rPr>
        <w:t>, substitute the words “The 24-hour emergency phone number of Iowa HHS is 515-725-4160.”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“appropriate NRC Regional Office listed in § 30.6 of this chapter” appear in </w:t>
      </w:r>
      <w:r>
        <w:rPr>
          <w:rFonts w:ascii="Times New Roman" w:hAnsi="Times New Roman"/>
          <w:b w:val="false"/>
          <w:i w:val="false"/>
          <w:color w:val="000000"/>
          <w:sz w:val="22"/>
        </w:rPr>
        <w:t>10 CFR 35.3045(d)</w:t>
      </w:r>
      <w:r>
        <w:rPr>
          <w:rFonts w:ascii="Times New Roman" w:hAnsi="Times New Roman"/>
          <w:b w:val="false"/>
          <w:i w:val="false"/>
          <w:color w:val="000000"/>
          <w:sz w:val="22"/>
        </w:rPr>
        <w:t>, 35.3047(d), 35.3067, and 35.3204(b),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w:t>
      </w:r>
      <w:r>
        <w:rPr>
          <w:rFonts w:ascii="Times New Roman" w:hAnsi="Times New Roman"/>
          <w:b w:val="false"/>
          <w:i w:val="false"/>
          <w:color w:val="000000"/>
          <w:sz w:val="22"/>
        </w:rPr>
        <w:t>10 CFR 35.3067</w:t>
      </w:r>
      <w:r>
        <w:rPr>
          <w:rFonts w:ascii="Times New Roman" w:hAnsi="Times New Roman"/>
          <w:b w:val="false"/>
          <w:i w:val="false"/>
          <w:color w:val="000000"/>
          <w:sz w:val="22"/>
        </w:rPr>
        <w:t>, the phrase “with a copy to the Director, Office of Nuclear Material Safety and Safeguards” is deleted and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35.5</w:t>
      </w:r>
      <w:r>
        <w:rPr>
          <w:rFonts w:ascii="Times New Roman" w:hAnsi="Times New Roman"/>
          <w:b w:val="false"/>
          <w:i w:val="false"/>
          <w:color w:val="000000"/>
          <w:sz w:val="22"/>
        </w:rPr>
        <w:t>, 35.12(d)(4), 35.14(a) and (b), 35.18, 35.19, 35.24, 35.26, and 35.1000,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or an Agreement State” appears in </w:t>
      </w:r>
      <w:r>
        <w:rPr>
          <w:rFonts w:ascii="Times New Roman" w:hAnsi="Times New Roman"/>
          <w:b w:val="false"/>
          <w:i w:val="false"/>
          <w:color w:val="000000"/>
          <w:sz w:val="22"/>
        </w:rPr>
        <w:t>10 CFR 35.2</w:t>
      </w:r>
      <w:r>
        <w:rPr>
          <w:rFonts w:ascii="Times New Roman" w:hAnsi="Times New Roman"/>
          <w:b w:val="false"/>
          <w:i w:val="false"/>
          <w:color w:val="000000"/>
          <w:sz w:val="22"/>
        </w:rPr>
        <w:t>, 35.11, 35.13, 35.14, 35.50, 35.51, 35.55, 35.57, 35.67, 35.190, 35.290, 35.390, 35.392, 35.394, 35.396, 35.433, 35.490, 35.590, 35.605, 35.655, and 35.690,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35.8</w:t>
      </w:r>
      <w:r>
        <w:rPr>
          <w:rFonts w:ascii="Times New Roman" w:hAnsi="Times New Roman"/>
          <w:b w:val="false"/>
          <w:i w:val="false"/>
          <w:color w:val="000000"/>
          <w:sz w:val="22"/>
        </w:rPr>
        <w:t xml:space="preserve"> requires “NRC Form 313, including NRC Form 313A” licensees shall use “Iowa HHS Form 313, including Iowa HHS Form 313A.”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35.12(b)</w:t>
      </w:r>
      <w:r>
        <w:rPr>
          <w:rFonts w:ascii="Times New Roman" w:hAnsi="Times New Roman"/>
          <w:b w:val="false"/>
          <w:i w:val="false"/>
          <w:color w:val="000000"/>
          <w:sz w:val="22"/>
        </w:rPr>
        <w:t>(1), 35.12(c)(1)(i), 35.12(c)(1)(ii), and 35.18(a)(1) require “NRC Form 313,” licensees shall use “Iowa HHS Form 313A.”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t>
      </w:r>
      <w:r>
        <w:rPr>
          <w:rFonts w:ascii="Times New Roman" w:hAnsi="Times New Roman"/>
          <w:b w:val="false"/>
          <w:i w:val="false"/>
          <w:color w:val="000000"/>
          <w:sz w:val="22"/>
        </w:rPr>
        <w:t>10 CFR Part 35</w:t>
      </w:r>
      <w:r>
        <w:rPr>
          <w:rFonts w:ascii="Times New Roman" w:hAnsi="Times New Roman"/>
          <w:b w:val="false"/>
          <w:i w:val="false"/>
          <w:color w:val="000000"/>
          <w:sz w:val="22"/>
        </w:rPr>
        <w:t xml:space="preserve"> references fees listed in </w:t>
      </w:r>
      <w:r>
        <w:rPr>
          <w:rFonts w:ascii="Times New Roman" w:hAnsi="Times New Roman"/>
          <w:b w:val="false"/>
          <w:i w:val="false"/>
          <w:color w:val="000000"/>
          <w:sz w:val="22"/>
        </w:rPr>
        <w:t>10 CFR Parts 170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171</w:t>
      </w:r>
      <w:r>
        <w:rPr>
          <w:rFonts w:ascii="Times New Roman" w:hAnsi="Times New Roman"/>
          <w:b w:val="false"/>
          <w:i w:val="false"/>
          <w:color w:val="000000"/>
          <w:sz w:val="22"/>
        </w:rPr>
        <w:t xml:space="preserve">, licensees shall comply with the fee requirements specified in rule </w:t>
      </w:r>
      <w:hyperlink r:id="rId94">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641—39.12</w:t>
      </w:r>
      <w:r>
        <w:rPr>
          <w:rFonts w:ascii="Times New Roman" w:hAnsi="Times New Roman"/>
          <w:b/>
          <w:i w:val="false"/>
          <w:color w:val="000000"/>
          <w:sz w:val="22"/>
        </w:rPr>
        <w:t xml:space="preserve">(136C) </w:t>
      </w:r>
      <w:r>
        <w:rPr>
          <w:rFonts w:ascii="Times New Roman" w:hAnsi="Times New Roman"/>
          <w:b/>
          <w:i w:val="false"/>
          <w:color w:val="000000"/>
          <w:sz w:val="22"/>
        </w:rPr>
        <w:t xml:space="preserve">Licenses and radiation safety requirements for irradiators.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39.12(1)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36</w:t>
      </w:r>
      <w:r>
        <w:rPr>
          <w:rFonts w:ascii="Times New Roman" w:hAnsi="Times New Roman"/>
          <w:b w:val="false"/>
          <w:i w:val="false"/>
          <w:color w:val="000000"/>
          <w:sz w:val="22"/>
        </w:rPr>
        <w:t>, “Licenses and Radiation Safety Requirements for Irradiators,”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36</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36.2</w:t>
      </w:r>
      <w:r>
        <w:rPr>
          <w:rFonts w:ascii="Times New Roman" w:hAnsi="Times New Roman"/>
          <w:b w:val="false"/>
          <w:i w:val="false"/>
          <w:color w:val="000000"/>
          <w:sz w:val="22"/>
        </w:rPr>
        <w:t xml:space="preserve">, paragraph (2) of the definition of commencement of construction, along with </w:t>
      </w:r>
      <w:r>
        <w:rPr>
          <w:rFonts w:ascii="Times New Roman" w:hAnsi="Times New Roman"/>
          <w:b w:val="false"/>
          <w:i w:val="false"/>
          <w:color w:val="000000"/>
          <w:sz w:val="22"/>
        </w:rPr>
        <w:t>10 CFR 36.5</w:t>
      </w:r>
      <w:r>
        <w:rPr>
          <w:rFonts w:ascii="Times New Roman" w:hAnsi="Times New Roman"/>
          <w:b w:val="false"/>
          <w:i w:val="false"/>
          <w:color w:val="000000"/>
          <w:sz w:val="22"/>
        </w:rPr>
        <w:t>, 36.8, 36.91, and 36.93.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sentence “The application and one copy must be sent to the appropriate NRC Regional Office listed in appendix D to part 20 of this chapter” appears in </w:t>
      </w:r>
      <w:r>
        <w:rPr>
          <w:rFonts w:ascii="Times New Roman" w:hAnsi="Times New Roman"/>
          <w:b w:val="false"/>
          <w:i w:val="false"/>
          <w:color w:val="000000"/>
          <w:sz w:val="22"/>
        </w:rPr>
        <w:t>10 CFR 36.11</w:t>
      </w:r>
      <w:r>
        <w:rPr>
          <w:rFonts w:ascii="Times New Roman" w:hAnsi="Times New Roman"/>
          <w:b w:val="false"/>
          <w:i w:val="false"/>
          <w:color w:val="000000"/>
          <w:sz w:val="22"/>
        </w:rPr>
        <w:t>, substitute the phrase “Application must be sent to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36.15</w:t>
      </w:r>
      <w:r>
        <w:rPr>
          <w:rFonts w:ascii="Times New Roman" w:hAnsi="Times New Roman"/>
          <w:b w:val="false"/>
          <w:i w:val="false"/>
          <w:color w:val="000000"/>
          <w:sz w:val="22"/>
        </w:rPr>
        <w:t>, 36.51(a)(1) and (a)(2), and 36.83(a)(both mentions),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“Any activities undertaken prior to the issuance of a license are entirely at the risk of the applicant and have no bearing on the issuance of a license with respect to the requirements of the Atomic Energy Act of 1954 (Act), as amended, and rules, regulations, and orders issued under the Act” appear in </w:t>
      </w:r>
      <w:r>
        <w:rPr>
          <w:rFonts w:ascii="Times New Roman" w:hAnsi="Times New Roman"/>
          <w:b w:val="false"/>
          <w:i w:val="false"/>
          <w:color w:val="000000"/>
          <w:sz w:val="22"/>
        </w:rPr>
        <w:t>10 CFR 36.15</w:t>
      </w:r>
      <w:r>
        <w:rPr>
          <w:rFonts w:ascii="Times New Roman" w:hAnsi="Times New Roman"/>
          <w:b w:val="false"/>
          <w:i w:val="false"/>
          <w:color w:val="000000"/>
          <w:sz w:val="22"/>
        </w:rPr>
        <w:t>, substitute the words “Any activities undertaken prior to the issuance are entirely at the risk of the applicant and have no bearing on the issuance of a license by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or an Agreement State” appear in </w:t>
      </w:r>
      <w:r>
        <w:rPr>
          <w:rFonts w:ascii="Times New Roman" w:hAnsi="Times New Roman"/>
          <w:b w:val="false"/>
          <w:i w:val="false"/>
          <w:color w:val="000000"/>
          <w:sz w:val="22"/>
        </w:rPr>
        <w:t>10 CFR 36.59(c)</w:t>
      </w:r>
      <w:r>
        <w:rPr>
          <w:rFonts w:ascii="Times New Roman" w:hAnsi="Times New Roman"/>
          <w:b w:val="false"/>
          <w:i w:val="false"/>
          <w:color w:val="000000"/>
          <w:sz w:val="22"/>
        </w:rPr>
        <w:t>,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36.13</w:t>
      </w:r>
      <w:r>
        <w:rPr>
          <w:rFonts w:ascii="Times New Roman" w:hAnsi="Times New Roman"/>
          <w:b w:val="false"/>
          <w:i w:val="false"/>
          <w:color w:val="000000"/>
          <w:sz w:val="22"/>
        </w:rPr>
        <w:t>, 36.13(b)(4) and (f), 36.17(a) and (b), 36.19(a)(both mentions) and (b)(both mentions), 36.53(c), 36.69(a) and (b), and 36.81(a) and (d) and (e),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or an Agreement State” appear in </w:t>
      </w:r>
      <w:r>
        <w:rPr>
          <w:rFonts w:ascii="Times New Roman" w:hAnsi="Times New Roman"/>
          <w:b w:val="false"/>
          <w:i w:val="false"/>
          <w:color w:val="000000"/>
          <w:sz w:val="22"/>
        </w:rPr>
        <w:t>10 CFR 36.13(g)</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 CFR 36.59(a)</w:t>
      </w:r>
      <w:r>
        <w:rPr>
          <w:rFonts w:ascii="Times New Roman" w:hAnsi="Times New Roman"/>
          <w:b w:val="false"/>
          <w:i w:val="false"/>
          <w:color w:val="000000"/>
          <w:sz w:val="22"/>
        </w:rPr>
        <w:t>(both mentions),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36.8(c)</w:t>
      </w:r>
      <w:r>
        <w:rPr>
          <w:rFonts w:ascii="Times New Roman" w:hAnsi="Times New Roman"/>
          <w:b w:val="false"/>
          <w:i w:val="false"/>
          <w:color w:val="000000"/>
          <w:sz w:val="22"/>
        </w:rPr>
        <w:t>(1) and 36.11 requires “NRC Form 313,” licensees shall use “Iowa HHS Form 313.”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t>
      </w:r>
      <w:r>
        <w:rPr>
          <w:rFonts w:ascii="Times New Roman" w:hAnsi="Times New Roman"/>
          <w:b w:val="false"/>
          <w:i w:val="false"/>
          <w:color w:val="000000"/>
          <w:sz w:val="22"/>
        </w:rPr>
        <w:t>10 CFR Part 36</w:t>
      </w:r>
      <w:r>
        <w:rPr>
          <w:rFonts w:ascii="Times New Roman" w:hAnsi="Times New Roman"/>
          <w:b w:val="false"/>
          <w:i w:val="false"/>
          <w:color w:val="000000"/>
          <w:sz w:val="22"/>
        </w:rPr>
        <w:t xml:space="preserve"> references fees listed in </w:t>
      </w:r>
      <w:r>
        <w:rPr>
          <w:rFonts w:ascii="Times New Roman" w:hAnsi="Times New Roman"/>
          <w:b w:val="false"/>
          <w:i w:val="false"/>
          <w:color w:val="000000"/>
          <w:sz w:val="22"/>
        </w:rPr>
        <w:t>10 CFR Parts 170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171</w:t>
      </w:r>
      <w:r>
        <w:rPr>
          <w:rFonts w:ascii="Times New Roman" w:hAnsi="Times New Roman"/>
          <w:b w:val="false"/>
          <w:i w:val="false"/>
          <w:color w:val="000000"/>
          <w:sz w:val="22"/>
        </w:rPr>
        <w:t xml:space="preserve">, licensees shall comply with the fee requirements specified in rule </w:t>
      </w:r>
      <w:hyperlink r:id="rId95">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641—39.13</w:t>
      </w:r>
      <w:r>
        <w:rPr>
          <w:rFonts w:ascii="Times New Roman" w:hAnsi="Times New Roman"/>
          <w:b/>
          <w:i w:val="false"/>
          <w:color w:val="000000"/>
          <w:sz w:val="22"/>
        </w:rPr>
        <w:t xml:space="preserve">(136C) </w:t>
      </w:r>
      <w:r>
        <w:rPr>
          <w:rFonts w:ascii="Times New Roman" w:hAnsi="Times New Roman"/>
          <w:b/>
          <w:i w:val="false"/>
          <w:color w:val="000000"/>
          <w:sz w:val="22"/>
        </w:rPr>
        <w:t xml:space="preserve">Physical protection of category 1 and category 2 quantities of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39.13(1)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37</w:t>
      </w:r>
      <w:r>
        <w:rPr>
          <w:rFonts w:ascii="Times New Roman" w:hAnsi="Times New Roman"/>
          <w:b w:val="false"/>
          <w:i w:val="false"/>
          <w:color w:val="000000"/>
          <w:sz w:val="22"/>
        </w:rPr>
        <w:t>, “Physical Protection of Category 1 and Category 2 Quantities of Radioactive Material,”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37</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37.7</w:t>
      </w:r>
      <w:r>
        <w:rPr>
          <w:rFonts w:ascii="Times New Roman" w:hAnsi="Times New Roman"/>
          <w:b w:val="false"/>
          <w:i w:val="false"/>
          <w:color w:val="000000"/>
          <w:sz w:val="22"/>
        </w:rPr>
        <w:t>, 37.9, 37.11(b), 37.13, 37.107, and 37.109.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37.31(d)</w:t>
      </w:r>
      <w:r>
        <w:rPr>
          <w:rFonts w:ascii="Times New Roman" w:hAnsi="Times New Roman"/>
          <w:b w:val="false"/>
          <w:i w:val="false"/>
          <w:color w:val="000000"/>
          <w:sz w:val="22"/>
        </w:rPr>
        <w:t>, 37.43(c)(3)(iii), 37.57(a), 37.57(c), 37.77 (except “the NRC’s Web site” in 37.77(a)(1)),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37.5</w:t>
      </w:r>
      <w:r>
        <w:rPr>
          <w:rFonts w:ascii="Times New Roman" w:hAnsi="Times New Roman"/>
          <w:b w:val="false"/>
          <w:i w:val="false"/>
          <w:color w:val="000000"/>
          <w:sz w:val="22"/>
        </w:rPr>
        <w:t xml:space="preserve"> (definition of “person”), 37.11(a), 37.43(a)(3), 37.43(c)(1)(ii), 37.101, 37.103, and 37.105,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or an Agreement State” appear in </w:t>
      </w:r>
      <w:r>
        <w:rPr>
          <w:rFonts w:ascii="Times New Roman" w:hAnsi="Times New Roman"/>
          <w:b w:val="false"/>
          <w:i w:val="false"/>
          <w:color w:val="000000"/>
          <w:sz w:val="22"/>
        </w:rPr>
        <w:t>10 CFR 37.71</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 CFR 37.77(f)</w:t>
      </w:r>
      <w:r>
        <w:rPr>
          <w:rFonts w:ascii="Times New Roman" w:hAnsi="Times New Roman"/>
          <w:b w:val="false"/>
          <w:i w:val="false"/>
          <w:color w:val="000000"/>
          <w:sz w:val="22"/>
        </w:rPr>
        <w:t>,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“Director, Office of Nuclear Material Safety and Safeguards, U.S. Nuclear Regulatory Commission, Washington, DC 20555–0001, ATTN: Source Management and Protection Branch” appear in </w:t>
      </w:r>
      <w:r>
        <w:rPr>
          <w:rFonts w:ascii="Times New Roman" w:hAnsi="Times New Roman"/>
          <w:b w:val="false"/>
          <w:i w:val="false"/>
          <w:color w:val="000000"/>
          <w:sz w:val="22"/>
        </w:rPr>
        <w:t>10 CFR 37.23(b)</w:t>
      </w:r>
      <w:r>
        <w:rPr>
          <w:rFonts w:ascii="Times New Roman" w:hAnsi="Times New Roman"/>
          <w:b w:val="false"/>
          <w:i w:val="false"/>
          <w:color w:val="000000"/>
          <w:sz w:val="22"/>
        </w:rPr>
        <w:t>(2),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regional office” appear in </w:t>
      </w:r>
      <w:r>
        <w:rPr>
          <w:rFonts w:ascii="Times New Roman" w:hAnsi="Times New Roman"/>
          <w:b w:val="false"/>
          <w:i w:val="false"/>
          <w:color w:val="000000"/>
          <w:sz w:val="22"/>
        </w:rPr>
        <w:t>10 CFR 37.41(a)</w:t>
      </w:r>
      <w:r>
        <w:rPr>
          <w:rFonts w:ascii="Times New Roman" w:hAnsi="Times New Roman"/>
          <w:b w:val="false"/>
          <w:i w:val="false"/>
          <w:color w:val="000000"/>
          <w:sz w:val="22"/>
        </w:rPr>
        <w:t>(3) and 37.81,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“appropriate NRC regional office listed in § 30.6(a)(2) of this chapter” appear in </w:t>
      </w:r>
      <w:r>
        <w:rPr>
          <w:rFonts w:ascii="Times New Roman" w:hAnsi="Times New Roman"/>
          <w:b w:val="false"/>
          <w:i w:val="false"/>
          <w:color w:val="000000"/>
          <w:sz w:val="22"/>
        </w:rPr>
        <w:t>10 CFR 37.45(b)</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“NRC’s Operational Center (301-816-5100)” appear in </w:t>
      </w:r>
      <w:r>
        <w:rPr>
          <w:rFonts w:ascii="Times New Roman" w:hAnsi="Times New Roman"/>
          <w:b w:val="false"/>
          <w:i w:val="false"/>
          <w:color w:val="000000"/>
          <w:sz w:val="22"/>
        </w:rPr>
        <w:t>10 CFR 37.57(a)</w:t>
      </w:r>
      <w:r>
        <w:rPr>
          <w:rFonts w:ascii="Times New Roman" w:hAnsi="Times New Roman"/>
          <w:b w:val="false"/>
          <w:i w:val="false"/>
          <w:color w:val="000000"/>
          <w:sz w:val="22"/>
        </w:rPr>
        <w:t>, 37.57(b), and 37.81, substitute the words “Bureau of Radiological Health and Human Services (515-725-4160).”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“NRC’s Director, Office of Nuclear Security and Incident Response, U.S. Nuclear Regulatory Commission, Washington, D.C. 20555-0001. The notification to the NRC may be made by email to </w:t>
      </w:r>
      <w:hyperlink r:id="rId96">
        <w:r>
          <w:rPr>
            <w:rStyle w:val="Hyperlink"/>
            <w:rFonts w:ascii="Times New Roman" w:hAnsi="Times New Roman"/>
            <w:b w:val="false"/>
            <w:i w:val="false"/>
            <w:color w:val="000000"/>
            <w:sz w:val="22"/>
            <w:u w:val="single"/>
          </w:rPr>
          <w:t>RAMQC_SHIPMENTS@nrc.gov</w:t>
        </w:r>
      </w:hyperlink>
      <w:r>
        <w:rPr>
          <w:rFonts w:ascii="Times New Roman" w:hAnsi="Times New Roman"/>
          <w:b w:val="false"/>
          <w:i w:val="false"/>
          <w:color w:val="000000"/>
          <w:sz w:val="22"/>
        </w:rPr>
        <w:t xml:space="preserve"> or by fax to 301-816-5151” appear in </w:t>
      </w:r>
      <w:r>
        <w:rPr>
          <w:rFonts w:ascii="Times New Roman" w:hAnsi="Times New Roman"/>
          <w:b w:val="false"/>
          <w:i w:val="false"/>
          <w:color w:val="000000"/>
          <w:sz w:val="22"/>
        </w:rPr>
        <w:t>10 CFR 37.77(a)</w:t>
      </w:r>
      <w:r>
        <w:rPr>
          <w:rFonts w:ascii="Times New Roman" w:hAnsi="Times New Roman"/>
          <w:b w:val="false"/>
          <w:i w:val="false"/>
          <w:color w:val="000000"/>
          <w:sz w:val="22"/>
        </w:rPr>
        <w:t>(1),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“NRC’s Director, Office of Nuclear Security and Incident Response, U.S. Nuclear Regulatory Commission, Washington, D.C. 20555-0001” appear in </w:t>
      </w:r>
      <w:r>
        <w:rPr>
          <w:rFonts w:ascii="Times New Roman" w:hAnsi="Times New Roman"/>
          <w:b w:val="false"/>
          <w:i w:val="false"/>
          <w:color w:val="000000"/>
          <w:sz w:val="22"/>
        </w:rPr>
        <w:t>10 CFR 37.77(c)</w:t>
      </w:r>
      <w:r>
        <w:rPr>
          <w:rFonts w:ascii="Times New Roman" w:hAnsi="Times New Roman"/>
          <w:b w:val="false"/>
          <w:i w:val="false"/>
          <w:color w:val="000000"/>
          <w:sz w:val="22"/>
        </w:rPr>
        <w:t>(1), 37.77(c)(2), and 37.77(d),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by an appropriate method listed in </w:t>
      </w:r>
      <w:r>
        <w:rPr>
          <w:rFonts w:ascii="Times New Roman" w:hAnsi="Times New Roman"/>
          <w:b w:val="false"/>
          <w:i w:val="false"/>
          <w:color w:val="000000"/>
          <w:sz w:val="22"/>
        </w:rPr>
        <w:t>10 CFR § 37.7</w:t>
      </w:r>
      <w:r>
        <w:rPr>
          <w:rFonts w:ascii="Times New Roman" w:hAnsi="Times New Roman"/>
          <w:b w:val="false"/>
          <w:i w:val="false"/>
          <w:color w:val="000000"/>
          <w:sz w:val="22"/>
        </w:rPr>
        <w:t xml:space="preserve">” appear in </w:t>
      </w:r>
      <w:r>
        <w:rPr>
          <w:rFonts w:ascii="Times New Roman" w:hAnsi="Times New Roman"/>
          <w:b w:val="false"/>
          <w:i w:val="false"/>
          <w:color w:val="000000"/>
          <w:sz w:val="22"/>
        </w:rPr>
        <w:t>10 CFR 37.81(g)</w:t>
      </w:r>
      <w:r>
        <w:rPr>
          <w:rFonts w:ascii="Times New Roman" w:hAnsi="Times New Roman"/>
          <w:b w:val="false"/>
          <w:i w:val="false"/>
          <w:color w:val="000000"/>
          <w:sz w:val="22"/>
        </w:rPr>
        <w:t>, substitute the words “Iowa HHS.”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641—39.14</w:t>
      </w:r>
      <w:r>
        <w:rPr>
          <w:rFonts w:ascii="Times New Roman" w:hAnsi="Times New Roman"/>
          <w:b/>
          <w:i w:val="false"/>
          <w:color w:val="000000"/>
          <w:sz w:val="22"/>
        </w:rPr>
        <w:t xml:space="preserve">(136C) </w:t>
      </w:r>
      <w:r>
        <w:rPr>
          <w:rFonts w:ascii="Times New Roman" w:hAnsi="Times New Roman"/>
          <w:b/>
          <w:i w:val="false"/>
          <w:color w:val="000000"/>
          <w:sz w:val="22"/>
        </w:rPr>
        <w:t xml:space="preserve">Licenses and radiation safety requirements for well logging.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39.14(1)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39</w:t>
      </w:r>
      <w:r>
        <w:rPr>
          <w:rFonts w:ascii="Times New Roman" w:hAnsi="Times New Roman"/>
          <w:b w:val="false"/>
          <w:i w:val="false"/>
          <w:color w:val="000000"/>
          <w:sz w:val="22"/>
        </w:rPr>
        <w:t>, “Licenses and Radiation Safety Requirements for Well Logging,”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39</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39.5</w:t>
      </w:r>
      <w:r>
        <w:rPr>
          <w:rFonts w:ascii="Times New Roman" w:hAnsi="Times New Roman"/>
          <w:b w:val="false"/>
          <w:i w:val="false"/>
          <w:color w:val="000000"/>
          <w:sz w:val="22"/>
        </w:rPr>
        <w:t>, 39.8, 39.91, 39.101, and 39.103.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or an Agreement State” appear in </w:t>
      </w:r>
      <w:r>
        <w:rPr>
          <w:rFonts w:ascii="Times New Roman" w:hAnsi="Times New Roman"/>
          <w:b w:val="false"/>
          <w:i w:val="false"/>
          <w:color w:val="000000"/>
          <w:sz w:val="22"/>
        </w:rPr>
        <w:t>10 CFR 39.35(d)</w:t>
      </w:r>
      <w:r>
        <w:rPr>
          <w:rFonts w:ascii="Times New Roman" w:hAnsi="Times New Roman"/>
          <w:b w:val="false"/>
          <w:i w:val="false"/>
          <w:color w:val="000000"/>
          <w:sz w:val="22"/>
        </w:rPr>
        <w:t>,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or an Agreement State” appear in </w:t>
      </w:r>
      <w:r>
        <w:rPr>
          <w:rFonts w:ascii="Times New Roman" w:hAnsi="Times New Roman"/>
          <w:b w:val="false"/>
          <w:i w:val="false"/>
          <w:color w:val="000000"/>
          <w:sz w:val="22"/>
        </w:rPr>
        <w:t>10 CFR 39.35(b)</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 CFR 39.43(d)</w:t>
      </w:r>
      <w:r>
        <w:rPr>
          <w:rFonts w:ascii="Times New Roman" w:hAnsi="Times New Roman"/>
          <w:b w:val="false"/>
          <w:i w:val="false"/>
          <w:color w:val="000000"/>
          <w:sz w:val="22"/>
        </w:rPr>
        <w:t xml:space="preserve"> and (e),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39.2</w:t>
      </w:r>
      <w:r>
        <w:rPr>
          <w:rFonts w:ascii="Times New Roman" w:hAnsi="Times New Roman"/>
          <w:b w:val="false"/>
          <w:i w:val="false"/>
          <w:color w:val="000000"/>
          <w:sz w:val="22"/>
        </w:rPr>
        <w:t>, 39.13, 39.15, 39.17, 39.33, 39.35(a), 39.37, 39.39, 39.45, 39.65, 35.67, 39.77 and 39.91,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39.61</w:t>
      </w:r>
      <w:r>
        <w:rPr>
          <w:rFonts w:ascii="Times New Roman" w:hAnsi="Times New Roman"/>
          <w:b w:val="false"/>
          <w:i w:val="false"/>
          <w:color w:val="000000"/>
          <w:sz w:val="22"/>
        </w:rPr>
        <w:t>, 39.73 and 39.77,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Regional Office listed in appendix D of part 20 of this chapter” appear in </w:t>
      </w:r>
      <w:r>
        <w:rPr>
          <w:rFonts w:ascii="Times New Roman" w:hAnsi="Times New Roman"/>
          <w:b w:val="false"/>
          <w:i w:val="false"/>
          <w:color w:val="000000"/>
          <w:sz w:val="22"/>
        </w:rPr>
        <w:t>10 CFR 39.11</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 CFR 39.35</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Regional Office” appear in </w:t>
      </w:r>
      <w:r>
        <w:rPr>
          <w:rFonts w:ascii="Times New Roman" w:hAnsi="Times New Roman"/>
          <w:b w:val="false"/>
          <w:i w:val="false"/>
          <w:color w:val="000000"/>
          <w:sz w:val="22"/>
        </w:rPr>
        <w:t>10 CFR 39.61</w:t>
      </w:r>
      <w:r>
        <w:rPr>
          <w:rFonts w:ascii="Times New Roman" w:hAnsi="Times New Roman"/>
          <w:b w:val="false"/>
          <w:i w:val="false"/>
          <w:color w:val="000000"/>
          <w:sz w:val="22"/>
        </w:rPr>
        <w:t>, 39.73 and 39.77,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under </w:t>
      </w:r>
      <w:r>
        <w:rPr>
          <w:rFonts w:ascii="Times New Roman" w:hAnsi="Times New Roman"/>
          <w:b w:val="false"/>
          <w:i w:val="false"/>
          <w:color w:val="000000"/>
          <w:sz w:val="22"/>
        </w:rPr>
        <w:t>10 CFR § 32.210</w:t>
      </w:r>
      <w:r>
        <w:rPr>
          <w:rFonts w:ascii="Times New Roman" w:hAnsi="Times New Roman"/>
          <w:b w:val="false"/>
          <w:i w:val="false"/>
          <w:color w:val="000000"/>
          <w:sz w:val="22"/>
        </w:rPr>
        <w:t xml:space="preserve"> of this chapter or with an Agreement State” appear in </w:t>
      </w:r>
      <w:r>
        <w:rPr>
          <w:rFonts w:ascii="Times New Roman" w:hAnsi="Times New Roman"/>
          <w:b w:val="false"/>
          <w:i w:val="false"/>
          <w:color w:val="000000"/>
          <w:sz w:val="22"/>
        </w:rPr>
        <w:t>10 CFR 39.41(f)</w:t>
      </w:r>
      <w:r>
        <w:rPr>
          <w:rFonts w:ascii="Times New Roman" w:hAnsi="Times New Roman"/>
          <w:b w:val="false"/>
          <w:i w:val="false"/>
          <w:color w:val="000000"/>
          <w:sz w:val="22"/>
        </w:rPr>
        <w:t>,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pursuant to </w:t>
      </w:r>
      <w:r>
        <w:rPr>
          <w:rFonts w:ascii="Times New Roman" w:hAnsi="Times New Roman"/>
          <w:b w:val="false"/>
          <w:i w:val="false"/>
          <w:color w:val="000000"/>
          <w:sz w:val="22"/>
        </w:rPr>
        <w:t>10 CFR § 39.13(c)</w:t>
      </w:r>
      <w:r>
        <w:rPr>
          <w:rFonts w:ascii="Times New Roman" w:hAnsi="Times New Roman"/>
          <w:b w:val="false"/>
          <w:i w:val="false"/>
          <w:color w:val="000000"/>
          <w:sz w:val="22"/>
        </w:rPr>
        <w:t xml:space="preserve"> or by an Agreement State” appear in </w:t>
      </w:r>
      <w:r>
        <w:rPr>
          <w:rFonts w:ascii="Times New Roman" w:hAnsi="Times New Roman"/>
          <w:b w:val="false"/>
          <w:i w:val="false"/>
          <w:color w:val="000000"/>
          <w:sz w:val="22"/>
        </w:rPr>
        <w:t>10 CFR 39.43(c)</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 CFR 39.51</w:t>
      </w:r>
      <w:r>
        <w:rPr>
          <w:rFonts w:ascii="Times New Roman" w:hAnsi="Times New Roman"/>
          <w:b w:val="false"/>
          <w:i w:val="false"/>
          <w:color w:val="000000"/>
          <w:sz w:val="22"/>
        </w:rPr>
        <w:t>,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Part 39</w:t>
      </w:r>
      <w:r>
        <w:rPr>
          <w:rFonts w:ascii="Times New Roman" w:hAnsi="Times New Roman"/>
          <w:b w:val="false"/>
          <w:i w:val="false"/>
          <w:color w:val="000000"/>
          <w:sz w:val="22"/>
        </w:rPr>
        <w:t>.11 requires “NRC Form 313,” licensees shall use “Iowa HHS Form 313.”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t>
      </w:r>
      <w:r>
        <w:rPr>
          <w:rFonts w:ascii="Times New Roman" w:hAnsi="Times New Roman"/>
          <w:b w:val="false"/>
          <w:i w:val="false"/>
          <w:color w:val="000000"/>
          <w:sz w:val="22"/>
        </w:rPr>
        <w:t>10 CFR Part 39</w:t>
      </w:r>
      <w:r>
        <w:rPr>
          <w:rFonts w:ascii="Times New Roman" w:hAnsi="Times New Roman"/>
          <w:b w:val="false"/>
          <w:i w:val="false"/>
          <w:color w:val="000000"/>
          <w:sz w:val="22"/>
        </w:rPr>
        <w:t xml:space="preserve"> references fees listed in </w:t>
      </w:r>
      <w:r>
        <w:rPr>
          <w:rFonts w:ascii="Times New Roman" w:hAnsi="Times New Roman"/>
          <w:b w:val="false"/>
          <w:i w:val="false"/>
          <w:color w:val="000000"/>
          <w:sz w:val="22"/>
        </w:rPr>
        <w:t>10 CFR Parts 170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171</w:t>
      </w:r>
      <w:r>
        <w:rPr>
          <w:rFonts w:ascii="Times New Roman" w:hAnsi="Times New Roman"/>
          <w:b w:val="false"/>
          <w:i w:val="false"/>
          <w:color w:val="000000"/>
          <w:sz w:val="22"/>
        </w:rPr>
        <w:t xml:space="preserve">, licensees shall comply with the fee requirements specified in rule </w:t>
      </w:r>
      <w:hyperlink r:id="rId97">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641—39.15</w:t>
      </w:r>
      <w:r>
        <w:rPr>
          <w:rFonts w:ascii="Times New Roman" w:hAnsi="Times New Roman"/>
          <w:b/>
          <w:i w:val="false"/>
          <w:color w:val="000000"/>
          <w:sz w:val="22"/>
        </w:rPr>
        <w:t xml:space="preserve">(136C) </w:t>
      </w:r>
      <w:r>
        <w:rPr>
          <w:rFonts w:ascii="Times New Roman" w:hAnsi="Times New Roman"/>
          <w:b/>
          <w:i w:val="false"/>
          <w:color w:val="000000"/>
          <w:sz w:val="22"/>
        </w:rPr>
        <w:t xml:space="preserve">Domestic licensing of source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39.15(1)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40</w:t>
      </w:r>
      <w:r>
        <w:rPr>
          <w:rFonts w:ascii="Times New Roman" w:hAnsi="Times New Roman"/>
          <w:b w:val="false"/>
          <w:i w:val="false"/>
          <w:color w:val="000000"/>
          <w:sz w:val="22"/>
        </w:rPr>
        <w:t xml:space="preserve">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40</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40.2</w:t>
      </w:r>
      <w:r>
        <w:rPr>
          <w:rFonts w:ascii="Times New Roman" w:hAnsi="Times New Roman"/>
          <w:b w:val="false"/>
          <w:i w:val="false"/>
          <w:color w:val="000000"/>
          <w:sz w:val="22"/>
        </w:rPr>
        <w:t>a; 40.4(definitions of “commencement of construction,” “construction,” “foreign obligations,” “reconciliation,” and residual radioactive material”); 40.5; 40.6; 40.7; 40.8; 40.10(b); 40.20(b) and (c); 40.12(b); 40.13(c)(5)(iv); 40.23; 40.27; 40.28; 40.31(c), (e), (f), (g), (j), (k), (l), and (m); 40.32(d), (e), and (g); 40.33; 40.38; 40.41(d), (e)(1), (e)(3), (g), and (h); 40.51(b)(6); 40.52; 40.53; 40.56; 40.64; 40.66; 40.67; 40.71; 40.81; 40.82, Appendix A (criteria 11 and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40.2</w:t>
      </w:r>
      <w:r>
        <w:rPr>
          <w:rFonts w:ascii="Times New Roman" w:hAnsi="Times New Roman"/>
          <w:b w:val="false"/>
          <w:i w:val="false"/>
          <w:color w:val="000000"/>
          <w:sz w:val="22"/>
        </w:rPr>
        <w:t>, 40.7(e)(1) and (e)(2), 40.7(f)(both mentions), 40.10(a)(2)(both mentions), 40.22(b)(1) and (4), 40.22(c), 40.36(b)(2)(both mentions), 40.36(g), 40.42(c)(2) and (d)(both mentions) and (d)(4), 40.60(a) and (b), and Appendix A (criteria 4 and 6),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“U.S. NRC or an Agreement State” appear in </w:t>
      </w:r>
      <w:r>
        <w:rPr>
          <w:rFonts w:ascii="Times New Roman" w:hAnsi="Times New Roman"/>
          <w:b w:val="false"/>
          <w:i w:val="false"/>
          <w:color w:val="000000"/>
          <w:sz w:val="22"/>
        </w:rPr>
        <w:t>10 CFR 40.35(b)</w:t>
      </w:r>
      <w:r>
        <w:rPr>
          <w:rFonts w:ascii="Times New Roman" w:hAnsi="Times New Roman"/>
          <w:b w:val="false"/>
          <w:i w:val="false"/>
          <w:color w:val="000000"/>
          <w:sz w:val="22"/>
        </w:rPr>
        <w:t>,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“Director, Office of Nuclear Material Safety and Safeguards, by an appropriate method listed in </w:t>
      </w:r>
      <w:r>
        <w:rPr>
          <w:rFonts w:ascii="Times New Roman" w:hAnsi="Times New Roman"/>
          <w:b w:val="false"/>
          <w:i w:val="false"/>
          <w:color w:val="000000"/>
          <w:sz w:val="22"/>
        </w:rPr>
        <w:t>10 CFR § 40.5</w:t>
      </w:r>
      <w:r>
        <w:rPr>
          <w:rFonts w:ascii="Times New Roman" w:hAnsi="Times New Roman"/>
          <w:b w:val="false"/>
          <w:i w:val="false"/>
          <w:color w:val="000000"/>
          <w:sz w:val="22"/>
        </w:rPr>
        <w:t xml:space="preserve">, with a copy to the appropriate NRC Regional Administrator” appear in </w:t>
      </w:r>
      <w:r>
        <w:rPr>
          <w:rFonts w:ascii="Times New Roman" w:hAnsi="Times New Roman"/>
          <w:b w:val="false"/>
          <w:i w:val="false"/>
          <w:color w:val="000000"/>
          <w:sz w:val="22"/>
        </w:rPr>
        <w:t>10 CFR 40.25(c)</w:t>
      </w:r>
      <w:r>
        <w:rPr>
          <w:rFonts w:ascii="Times New Roman" w:hAnsi="Times New Roman"/>
          <w:b w:val="false"/>
          <w:i w:val="false"/>
          <w:color w:val="000000"/>
          <w:sz w:val="22"/>
        </w:rPr>
        <w:t>(1),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Headquarters Operations Center at the numbers specified in appendix A of this chapter” appear in </w:t>
      </w:r>
      <w:r>
        <w:rPr>
          <w:rFonts w:ascii="Times New Roman" w:hAnsi="Times New Roman"/>
          <w:b w:val="false"/>
          <w:i w:val="false"/>
          <w:color w:val="000000"/>
          <w:sz w:val="22"/>
        </w:rPr>
        <w:t>10 CFR 40.60(c)</w:t>
      </w:r>
      <w:r>
        <w:rPr>
          <w:rFonts w:ascii="Times New Roman" w:hAnsi="Times New Roman"/>
          <w:b w:val="false"/>
          <w:i w:val="false"/>
          <w:color w:val="000000"/>
          <w:sz w:val="22"/>
        </w:rPr>
        <w:t>(1),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Document Controls Desk by an appropriate method listed in § 40.5, with a copy to the appropriate NRC regional office listed in appendix D to part 20 of this chapter” appear in </w:t>
      </w:r>
      <w:r>
        <w:rPr>
          <w:rFonts w:ascii="Times New Roman" w:hAnsi="Times New Roman"/>
          <w:b w:val="false"/>
          <w:i w:val="false"/>
          <w:color w:val="000000"/>
          <w:sz w:val="22"/>
        </w:rPr>
        <w:t>10 CFR 40.60(c)</w:t>
      </w:r>
      <w:r>
        <w:rPr>
          <w:rFonts w:ascii="Times New Roman" w:hAnsi="Times New Roman"/>
          <w:b w:val="false"/>
          <w:i w:val="false"/>
          <w:color w:val="000000"/>
          <w:sz w:val="22"/>
        </w:rPr>
        <w:t>(2),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“appropriate NRC regional office” appear in </w:t>
      </w:r>
      <w:r>
        <w:rPr>
          <w:rFonts w:ascii="Times New Roman" w:hAnsi="Times New Roman"/>
          <w:b w:val="false"/>
          <w:i w:val="false"/>
          <w:color w:val="000000"/>
          <w:sz w:val="22"/>
        </w:rPr>
        <w:t>10 CFR 40.61(d)</w:t>
      </w:r>
      <w:r>
        <w:rPr>
          <w:rFonts w:ascii="Times New Roman" w:hAnsi="Times New Roman"/>
          <w:b w:val="false"/>
          <w:i w:val="false"/>
          <w:color w:val="000000"/>
          <w:sz w:val="22"/>
        </w:rPr>
        <w:t xml:space="preserve"> and (f), and Appendix A (criterion 8),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“Director, Office of Nuclear Material Safety and Safeguards, using an appropriate method listed in § 40.5, with a copy to the appropriate NRC Regional Office shown in appendix D to part 20 of this chapter” appear in </w:t>
      </w:r>
      <w:r>
        <w:rPr>
          <w:rFonts w:ascii="Times New Roman" w:hAnsi="Times New Roman"/>
          <w:b w:val="false"/>
          <w:i w:val="false"/>
          <w:color w:val="000000"/>
          <w:sz w:val="22"/>
        </w:rPr>
        <w:t>10 CFR 40.65(a)</w:t>
      </w:r>
      <w:r>
        <w:rPr>
          <w:rFonts w:ascii="Times New Roman" w:hAnsi="Times New Roman"/>
          <w:b w:val="false"/>
          <w:i w:val="false"/>
          <w:color w:val="000000"/>
          <w:sz w:val="22"/>
        </w:rPr>
        <w:t>(1),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“appropriate NRC Regional Administrator” appear in </w:t>
      </w:r>
      <w:r>
        <w:rPr>
          <w:rFonts w:ascii="Times New Roman" w:hAnsi="Times New Roman"/>
          <w:b w:val="false"/>
          <w:i w:val="false"/>
          <w:color w:val="000000"/>
          <w:sz w:val="22"/>
        </w:rPr>
        <w:t>10 CFR 40.41(f)</w:t>
      </w:r>
      <w:r>
        <w:rPr>
          <w:rFonts w:ascii="Times New Roman" w:hAnsi="Times New Roman"/>
          <w:b w:val="false"/>
          <w:i w:val="false"/>
          <w:color w:val="000000"/>
          <w:sz w:val="22"/>
        </w:rPr>
        <w:t>(1),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40.1(a)</w:t>
      </w:r>
      <w:r>
        <w:rPr>
          <w:rFonts w:ascii="Times New Roman" w:hAnsi="Times New Roman"/>
          <w:b w:val="false"/>
          <w:i w:val="false"/>
          <w:color w:val="000000"/>
          <w:sz w:val="22"/>
        </w:rPr>
        <w:t>, 40.3, 40.9(a) and (b)(all mentions), 40.10(a)(1) and (c)(1), 40.11(all mentions), 40.13(i), 40.14(a), 40.20(a), 40.22(a)(1)(both mentions) and (e), 40.26(b)(both mentions), 40.26(c)(2) 40.31(a) and (b)(both mentions) and (c) and (d) and (f) and (g) and (g)(1), 40.34(b) and (c), 40.35(e) and (f)(all mentions), 40.36(e)(1) and (e)(2)(i)(both mentions) and (e)(2)(ii) and (e)(2)(iii) and (f), 40.41(a) and (c), 40.42(a) and (b)(all mentions) and (c) and (e)(2) and (f)(all mentions) and (g)(1) and (g)(2)(both mentions) and (g)(5) and (i)(both mentions) and (i)(5) and (k), 40.45, 40.46(a), 40.51(b)(2) and (b)(7) and (d)(4) and (d)(5), 40.54(b), 40.55(d)(3) and (e), 40.61(a)(2) and  (a)(3) and (c)(1) and (c)(2)(all mentions), 40.62(a) and (b), 40.63(both mentions), 40.65 (a)(1)(all mentions), and Appendix A,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“Director, Office of Nuclear Material Safety and Safeguards, with a copy to the Regional Administrator of the appropriate U.S. Nuclear Regulatory Commission Regional Office listed in appendix D of part 20 of this chapter” appear in </w:t>
      </w:r>
      <w:r>
        <w:rPr>
          <w:rFonts w:ascii="Times New Roman" w:hAnsi="Times New Roman"/>
          <w:b w:val="false"/>
          <w:i w:val="false"/>
          <w:color w:val="000000"/>
          <w:sz w:val="22"/>
        </w:rPr>
        <w:t>10 CFR 40.25(c)</w:t>
      </w:r>
      <w:r>
        <w:rPr>
          <w:rFonts w:ascii="Times New Roman" w:hAnsi="Times New Roman"/>
          <w:b w:val="false"/>
          <w:i w:val="false"/>
          <w:color w:val="000000"/>
          <w:sz w:val="22"/>
        </w:rPr>
        <w:t>(2) and (d)(4),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“appropriate NRC regional office as indicated in appendix D to part 20 of this chapter, or the Director, Office of Nuclear Material Safety and Safeguards, U.S. Nuclear Regulatory Commission, Washington, DC 20555” appear in </w:t>
      </w:r>
      <w:r>
        <w:rPr>
          <w:rFonts w:ascii="Times New Roman" w:hAnsi="Times New Roman"/>
          <w:b w:val="false"/>
          <w:i w:val="false"/>
          <w:color w:val="000000"/>
          <w:sz w:val="22"/>
        </w:rPr>
        <w:t>10 CFR 40.26(c)</w:t>
      </w:r>
      <w:r>
        <w:rPr>
          <w:rFonts w:ascii="Times New Roman" w:hAnsi="Times New Roman"/>
          <w:b w:val="false"/>
          <w:i w:val="false"/>
          <w:color w:val="000000"/>
          <w:sz w:val="22"/>
        </w:rPr>
        <w:t>(2),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“Director, Office of Nuclear Material Safety and Safeguards, U.S. Nuclear Regulatory Commission, Washington, DC 20555” appear in </w:t>
      </w:r>
      <w:r>
        <w:rPr>
          <w:rFonts w:ascii="Times New Roman" w:hAnsi="Times New Roman"/>
          <w:b w:val="false"/>
          <w:i w:val="false"/>
          <w:color w:val="000000"/>
          <w:sz w:val="22"/>
        </w:rPr>
        <w:t>10 CFR 40.55(d)</w:t>
      </w:r>
      <w:r>
        <w:rPr>
          <w:rFonts w:ascii="Times New Roman" w:hAnsi="Times New Roman"/>
          <w:b w:val="false"/>
          <w:i w:val="false"/>
          <w:color w:val="000000"/>
          <w:sz w:val="22"/>
        </w:rPr>
        <w:t>(1),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or an Agreement State” appear in </w:t>
      </w:r>
      <w:r>
        <w:rPr>
          <w:rFonts w:ascii="Times New Roman" w:hAnsi="Times New Roman"/>
          <w:b w:val="false"/>
          <w:i w:val="false"/>
          <w:color w:val="000000"/>
          <w:sz w:val="22"/>
        </w:rPr>
        <w:t>10 CFR 40.51(b)</w:t>
      </w:r>
      <w:r>
        <w:rPr>
          <w:rFonts w:ascii="Times New Roman" w:hAnsi="Times New Roman"/>
          <w:b w:val="false"/>
          <w:i w:val="false"/>
          <w:color w:val="000000"/>
          <w:sz w:val="22"/>
        </w:rPr>
        <w:t>(5) and (c)(both mentions),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“Act”, “Atomic Energy Act of 1954, as amended (68 Stat. 919)”, “section 62 of the Act”, and “section 182 of the Act” appear in </w:t>
      </w:r>
      <w:r>
        <w:rPr>
          <w:rFonts w:ascii="Times New Roman" w:hAnsi="Times New Roman"/>
          <w:b w:val="false"/>
          <w:i w:val="false"/>
          <w:color w:val="000000"/>
          <w:sz w:val="22"/>
        </w:rPr>
        <w:t>10 CFR 40.12</w:t>
      </w:r>
      <w:r>
        <w:rPr>
          <w:rFonts w:ascii="Times New Roman" w:hAnsi="Times New Roman"/>
          <w:b w:val="false"/>
          <w:i w:val="false"/>
          <w:color w:val="000000"/>
          <w:sz w:val="22"/>
        </w:rPr>
        <w:t xml:space="preserve">, 40.13, 40.31(d), 40.32(a), 40.41(a), (b), and (e)(4), 40.46, and 40.51(b)(2), (b)(3), substitute the words “Iowa Code chapter </w:t>
      </w:r>
      <w:hyperlink r:id="rId98">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“Administrator of the appropriate Regional Office” appear in </w:t>
      </w:r>
      <w:r>
        <w:rPr>
          <w:rFonts w:ascii="Times New Roman" w:hAnsi="Times New Roman"/>
          <w:b w:val="false"/>
          <w:i w:val="false"/>
          <w:color w:val="000000"/>
          <w:sz w:val="22"/>
        </w:rPr>
        <w:t>10 CFR 40.9(b)</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“Director of the Office of Nuclear Material Safety and Safeguards by an appropriate method listed in 40.5” appear in </w:t>
      </w:r>
      <w:r>
        <w:rPr>
          <w:rFonts w:ascii="Times New Roman" w:hAnsi="Times New Roman"/>
          <w:b w:val="false"/>
          <w:i w:val="false"/>
          <w:color w:val="000000"/>
          <w:sz w:val="22"/>
        </w:rPr>
        <w:t>10 CFR 40.22(b)</w:t>
      </w:r>
      <w:r>
        <w:rPr>
          <w:rFonts w:ascii="Times New Roman" w:hAnsi="Times New Roman"/>
          <w:b w:val="false"/>
          <w:i w:val="false"/>
          <w:color w:val="000000"/>
          <w:sz w:val="22"/>
        </w:rPr>
        <w:t xml:space="preserve">(4) and (c), and where the words “Director, Office of Nuclear Materials Safety and Safeguards, by an appropriate method listed in 40.5” appear in </w:t>
      </w:r>
      <w:r>
        <w:rPr>
          <w:rFonts w:ascii="Times New Roman" w:hAnsi="Times New Roman"/>
          <w:b w:val="false"/>
          <w:i w:val="false"/>
          <w:color w:val="000000"/>
          <w:sz w:val="22"/>
        </w:rPr>
        <w:t>10 CFR 40.35(e)</w:t>
      </w:r>
      <w:r>
        <w:rPr>
          <w:rFonts w:ascii="Times New Roman" w:hAnsi="Times New Roman"/>
          <w:b w:val="false"/>
          <w:i w:val="false"/>
          <w:color w:val="000000"/>
          <w:sz w:val="22"/>
        </w:rPr>
        <w:t>(1) and (f),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“Director, Office of Nuclear Material Safety and Safeguards” appear in </w:t>
      </w:r>
      <w:r>
        <w:rPr>
          <w:rFonts w:ascii="Times New Roman" w:hAnsi="Times New Roman"/>
          <w:b w:val="false"/>
          <w:i w:val="false"/>
          <w:color w:val="000000"/>
          <w:sz w:val="22"/>
        </w:rPr>
        <w:t>10 CFR 40.36(g)</w:t>
      </w:r>
      <w:r>
        <w:rPr>
          <w:rFonts w:ascii="Times New Roman" w:hAnsi="Times New Roman"/>
          <w:b w:val="false"/>
          <w:i w:val="false"/>
          <w:color w:val="000000"/>
          <w:sz w:val="22"/>
        </w:rPr>
        <w:t>(3),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“Agreement State agency” and “Agreement State” appear in </w:t>
      </w:r>
      <w:r>
        <w:rPr>
          <w:rFonts w:ascii="Times New Roman" w:hAnsi="Times New Roman"/>
          <w:b w:val="false"/>
          <w:i w:val="false"/>
          <w:color w:val="000000"/>
          <w:sz w:val="22"/>
        </w:rPr>
        <w:t>10 CFR 40.55</w:t>
      </w:r>
      <w:r>
        <w:rPr>
          <w:rFonts w:ascii="Times New Roman" w:hAnsi="Times New Roman"/>
          <w:b w:val="false"/>
          <w:i w:val="false"/>
          <w:color w:val="000000"/>
          <w:sz w:val="22"/>
        </w:rPr>
        <w:t>, substitute the words “Agreement State or the NRC.”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“appropriate NRC regional office as indicated in appendix D to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of this chapter, or the Director, Office of Nuclear Material Safety and Safeguards, U.S. Nuclear Regulatory Commission, Washington, DC 20555–0001” appear in Appendix A (criterion 8A),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40.42</w:t>
      </w:r>
      <w:r>
        <w:rPr>
          <w:rFonts w:ascii="Times New Roman" w:hAnsi="Times New Roman"/>
          <w:b w:val="false"/>
          <w:i w:val="false"/>
          <w:color w:val="000000"/>
          <w:sz w:val="22"/>
        </w:rPr>
        <w:t xml:space="preserve"> requires “NRC Form 314,” licensees shall use “Iowa HHS Form 314.”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40.25</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 CFR 40.35</w:t>
      </w:r>
      <w:r>
        <w:rPr>
          <w:rFonts w:ascii="Times New Roman" w:hAnsi="Times New Roman"/>
          <w:b w:val="false"/>
          <w:i w:val="false"/>
          <w:color w:val="000000"/>
          <w:sz w:val="22"/>
        </w:rPr>
        <w:t xml:space="preserve"> requires “NRC Form 244,” licensees shall use “Iowa HHS Form 244.”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t>
      </w:r>
      <w:r>
        <w:rPr>
          <w:rFonts w:ascii="Times New Roman" w:hAnsi="Times New Roman"/>
          <w:b w:val="false"/>
          <w:i w:val="false"/>
          <w:color w:val="000000"/>
          <w:sz w:val="22"/>
        </w:rPr>
        <w:t>10 CFR Part 40</w:t>
      </w:r>
      <w:r>
        <w:rPr>
          <w:rFonts w:ascii="Times New Roman" w:hAnsi="Times New Roman"/>
          <w:b w:val="false"/>
          <w:i w:val="false"/>
          <w:color w:val="000000"/>
          <w:sz w:val="22"/>
        </w:rPr>
        <w:t xml:space="preserve"> references fees listed in </w:t>
      </w:r>
      <w:r>
        <w:rPr>
          <w:rFonts w:ascii="Times New Roman" w:hAnsi="Times New Roman"/>
          <w:b w:val="false"/>
          <w:i w:val="false"/>
          <w:color w:val="000000"/>
          <w:sz w:val="22"/>
        </w:rPr>
        <w:t>10 CFR Parts 170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171</w:t>
      </w:r>
      <w:r>
        <w:rPr>
          <w:rFonts w:ascii="Times New Roman" w:hAnsi="Times New Roman"/>
          <w:b w:val="false"/>
          <w:i w:val="false"/>
          <w:color w:val="000000"/>
          <w:sz w:val="22"/>
        </w:rPr>
        <w:t xml:space="preserve">, licensees shall comply with the fee requirements specified in rule </w:t>
      </w:r>
      <w:hyperlink r:id="rId99">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641—39.16</w:t>
      </w:r>
      <w:r>
        <w:rPr>
          <w:rFonts w:ascii="Times New Roman" w:hAnsi="Times New Roman"/>
          <w:b/>
          <w:i w:val="false"/>
          <w:color w:val="000000"/>
          <w:sz w:val="22"/>
        </w:rPr>
        <w:t xml:space="preserve">(136C) </w:t>
      </w:r>
      <w:r>
        <w:rPr>
          <w:rFonts w:ascii="Times New Roman" w:hAnsi="Times New Roman"/>
          <w:b/>
          <w:i w:val="false"/>
          <w:color w:val="000000"/>
          <w:sz w:val="22"/>
        </w:rPr>
        <w:t xml:space="preserve">Domestic licensing of special nuclear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70</w:t>
      </w:r>
      <w:r>
        <w:rPr>
          <w:rFonts w:ascii="Times New Roman" w:hAnsi="Times New Roman"/>
          <w:b w:val="false"/>
          <w:i w:val="false"/>
          <w:color w:val="000000"/>
          <w:sz w:val="22"/>
        </w:rPr>
        <w:t>, “Domestic Licensing of Special Nuclear Material,”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70</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70.1(c)</w:t>
      </w:r>
      <w:r>
        <w:rPr>
          <w:rFonts w:ascii="Times New Roman" w:hAnsi="Times New Roman"/>
          <w:b w:val="false"/>
          <w:i w:val="false"/>
          <w:color w:val="000000"/>
          <w:sz w:val="22"/>
        </w:rPr>
        <w:t>, (d), and (e), Construction Paragraph 9ii; 70.4; 70.5; 70.6; 70.7; 70.8; 70.10(b); 70.13; 70.14; 70.17(c) and (d); 70.20a; 70.20b; 70.21 (a)(1), (a)(2), (a)(3), (b), (c), (d), and (e), (f), (g), (h); 70.22(b), (c), (f), (g), (h), (i), (j), (k), (l), (m), and  (n); 70.23(a)(1), (a)(6), (a)(7), (a)(8), (a)(9), (a)(10), (a)(11), (a)(12), and (b); 70.23a; 70.24; 70.25(a)(1); 70.31(c), (d), and (e); 70.32 (a)(1), (a)(4), (a)(5), (a)(6), (a)(7), (b)(1), (b)(3), (b)(4), (c), (d), (e), (f), (g), (h), (i), (j), and  (k); 70.34; 70.37; 70.40; 70.42(b)(6); 70.44; 70.50(c)(2)(iv) and (d); 70.52; 70.55(c); 70.59; 70.60; 70.61; 70.62; 70.64; 70.65; 70.66; 70.72; 70.73; 70.74; 70.76; 70.81; 70.82; 70.91; 70.92, and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70.2</w:t>
      </w:r>
      <w:r>
        <w:rPr>
          <w:rFonts w:ascii="Times New Roman" w:hAnsi="Times New Roman"/>
          <w:b w:val="false"/>
          <w:i w:val="false"/>
          <w:color w:val="000000"/>
          <w:sz w:val="22"/>
        </w:rPr>
        <w:t>, 70.10(a)(2)(both mentions), 70.25(b)(2)(both mentions) and  (h), 70.38(c)(2) and (d)(both mentions) and (d)(4), and 70.50(a) and (b),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“NRC Headquarters Operations Center at the number specified in appendix A to part 73 of this chapter” appear in </w:t>
      </w:r>
      <w:r>
        <w:rPr>
          <w:rFonts w:ascii="Times New Roman" w:hAnsi="Times New Roman"/>
          <w:b w:val="false"/>
          <w:i w:val="false"/>
          <w:color w:val="000000"/>
          <w:sz w:val="22"/>
        </w:rPr>
        <w:t>10 CFR 70.50(c)</w:t>
      </w:r>
      <w:r>
        <w:rPr>
          <w:rFonts w:ascii="Times New Roman" w:hAnsi="Times New Roman"/>
          <w:b w:val="false"/>
          <w:i w:val="false"/>
          <w:color w:val="000000"/>
          <w:sz w:val="22"/>
        </w:rPr>
        <w:t>(1),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“appropriate NRC Regional Administrator” appear in </w:t>
      </w:r>
      <w:r>
        <w:rPr>
          <w:rFonts w:ascii="Times New Roman" w:hAnsi="Times New Roman"/>
          <w:b w:val="false"/>
          <w:i w:val="false"/>
          <w:color w:val="000000"/>
          <w:sz w:val="22"/>
        </w:rPr>
        <w:t>10 CFR 70.32(a)</w:t>
      </w:r>
      <w:r>
        <w:rPr>
          <w:rFonts w:ascii="Times New Roman" w:hAnsi="Times New Roman"/>
          <w:b w:val="false"/>
          <w:i w:val="false"/>
          <w:color w:val="000000"/>
          <w:sz w:val="22"/>
        </w:rPr>
        <w:t>(9)(i),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“appropriate NRC Regional Office” appear in </w:t>
      </w:r>
      <w:r>
        <w:rPr>
          <w:rFonts w:ascii="Times New Roman" w:hAnsi="Times New Roman"/>
          <w:b w:val="false"/>
          <w:i w:val="false"/>
          <w:color w:val="000000"/>
          <w:sz w:val="22"/>
        </w:rPr>
        <w:t>10 CFR 70.51(a)</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70.1(a)</w:t>
      </w:r>
      <w:r>
        <w:rPr>
          <w:rFonts w:ascii="Times New Roman" w:hAnsi="Times New Roman"/>
          <w:b w:val="false"/>
          <w:i w:val="false"/>
          <w:color w:val="000000"/>
          <w:sz w:val="22"/>
        </w:rPr>
        <w:t>, 70.3, 70.9(a)(both mentions) and (b)(both mentions), 70.10(a)(1) and (c)(1), 70.17(a), 70.18, 70.22(a)(8) and (d)(both mentions), 70.23(a) and (a)(5),  70.25(f)(1) and (f)(2)(i)(both mentions) and (f)(2)(ii) and (f)(2)(iii) and (g), 70.31(a)(both mentions), 70.32(a)(8) and (b), 70.33, 70.35, 70.36(a), 70.38(a) and (b)(all mentions) and (c) and (e)(2) and (f)(all mentions) and  (g)(1) and (g)(2)(both mentions) and (g)(5) and (i)(5) and (k), 70.39(a)(4), 70.42(b)(7), 70.51(c)(1) and (c)(2)(all mentions), 70.55(a) and (b) and (c)(1) and (c)(2), 70.56(both mentions),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Where the words “Commission or an Agreement State” and “Commission or with an Agreement State” appear in 70.42(c)(both mentions), substitute the words “Iowa HHS, NRC or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“Commission or the licensing agency of an Agreement State” appear in </w:t>
      </w:r>
      <w:r>
        <w:rPr>
          <w:rFonts w:ascii="Times New Roman" w:hAnsi="Times New Roman"/>
          <w:b w:val="false"/>
          <w:i w:val="false"/>
          <w:color w:val="000000"/>
          <w:sz w:val="22"/>
        </w:rPr>
        <w:t>10 CFR 70.42(d)</w:t>
      </w:r>
      <w:r>
        <w:rPr>
          <w:rFonts w:ascii="Times New Roman" w:hAnsi="Times New Roman"/>
          <w:b w:val="false"/>
          <w:i w:val="false"/>
          <w:color w:val="000000"/>
          <w:sz w:val="22"/>
        </w:rPr>
        <w:t>(4) and (d)(5), substitute the words “Iowa HHS, the U.S. Regulatory Commission, or the licensing agency of an Agreement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Part 70</w:t>
      </w:r>
      <w:r>
        <w:rPr>
          <w:rFonts w:ascii="Times New Roman" w:hAnsi="Times New Roman"/>
          <w:b w:val="false"/>
          <w:i w:val="false"/>
          <w:color w:val="000000"/>
          <w:sz w:val="22"/>
        </w:rPr>
        <w:t>.38(j)(1) requires “NRC Form 314,” licensees shall use “Iowa HHS Form 314.”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“the Atomic Energy Act of 1954, as amended (68 Stat. 919) and </w:t>
      </w:r>
      <w:r>
        <w:rPr>
          <w:rFonts w:ascii="Times New Roman" w:hAnsi="Times New Roman"/>
          <w:b w:val="false"/>
          <w:i w:val="false"/>
          <w:color w:val="000000"/>
          <w:sz w:val="22"/>
        </w:rPr>
        <w:t>Title II of the Energy Reorganization Act of 1974</w:t>
      </w:r>
      <w:r>
        <w:rPr>
          <w:rFonts w:ascii="Times New Roman" w:hAnsi="Times New Roman"/>
          <w:b w:val="false"/>
          <w:i w:val="false"/>
          <w:color w:val="000000"/>
          <w:sz w:val="22"/>
        </w:rPr>
        <w:t xml:space="preserve"> (88 Stat. 1242)” appear in </w:t>
      </w:r>
      <w:r>
        <w:rPr>
          <w:rFonts w:ascii="Times New Roman" w:hAnsi="Times New Roman"/>
          <w:b w:val="false"/>
          <w:i w:val="false"/>
          <w:color w:val="000000"/>
          <w:sz w:val="22"/>
        </w:rPr>
        <w:t>10 CFR 70.1(b)</w:t>
      </w:r>
      <w:r>
        <w:rPr>
          <w:rFonts w:ascii="Times New Roman" w:hAnsi="Times New Roman"/>
          <w:b w:val="false"/>
          <w:i w:val="false"/>
          <w:color w:val="000000"/>
          <w:sz w:val="22"/>
        </w:rPr>
        <w:t xml:space="preserve">, substitute the words “Iowa Code chapter </w:t>
      </w:r>
      <w:hyperlink r:id="rId10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“Act” appears in </w:t>
      </w:r>
      <w:r>
        <w:rPr>
          <w:rFonts w:ascii="Times New Roman" w:hAnsi="Times New Roman"/>
          <w:b w:val="false"/>
          <w:i w:val="false"/>
          <w:color w:val="000000"/>
          <w:sz w:val="22"/>
        </w:rPr>
        <w:t>10 CFR 70.21(b)</w:t>
      </w:r>
      <w:r>
        <w:rPr>
          <w:rFonts w:ascii="Times New Roman" w:hAnsi="Times New Roman"/>
          <w:b w:val="false"/>
          <w:i w:val="false"/>
          <w:color w:val="000000"/>
          <w:sz w:val="22"/>
        </w:rPr>
        <w:t xml:space="preserve">, 70.32(a)(3), and 70.36(a), substitute the words “Iowa Code chapter </w:t>
      </w:r>
      <w:hyperlink r:id="rId101">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“Administrator of the appropriate Regional Office” appear in </w:t>
      </w:r>
      <w:r>
        <w:rPr>
          <w:rFonts w:ascii="Times New Roman" w:hAnsi="Times New Roman"/>
          <w:b w:val="false"/>
          <w:i w:val="false"/>
          <w:color w:val="000000"/>
          <w:sz w:val="22"/>
        </w:rPr>
        <w:t>10 CFR 70.9(b)</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“Any person in a non-agreement State who holds a specific license issued by the Commission or the Atomic Energy Commission” appear in </w:t>
      </w:r>
      <w:r>
        <w:rPr>
          <w:rFonts w:ascii="Times New Roman" w:hAnsi="Times New Roman"/>
          <w:b w:val="false"/>
          <w:i w:val="false"/>
          <w:color w:val="000000"/>
          <w:sz w:val="22"/>
        </w:rPr>
        <w:t>10 CFR 70.19(a)</w:t>
      </w:r>
      <w:r>
        <w:rPr>
          <w:rFonts w:ascii="Times New Roman" w:hAnsi="Times New Roman"/>
          <w:b w:val="false"/>
          <w:i w:val="false"/>
          <w:color w:val="000000"/>
          <w:sz w:val="22"/>
        </w:rPr>
        <w:t>(1), substitute the words “Any person who holds a specific license issued by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“Any Government agency, as defined in </w:t>
      </w:r>
      <w:r>
        <w:rPr>
          <w:rFonts w:ascii="Times New Roman" w:hAnsi="Times New Roman"/>
          <w:b w:val="false"/>
          <w:i w:val="false"/>
          <w:color w:val="000000"/>
          <w:sz w:val="22"/>
        </w:rPr>
        <w:t>10 CFR § 70.4</w:t>
      </w:r>
      <w:r>
        <w:rPr>
          <w:rFonts w:ascii="Times New Roman" w:hAnsi="Times New Roman"/>
          <w:b w:val="false"/>
          <w:i w:val="false"/>
          <w:color w:val="000000"/>
          <w:sz w:val="22"/>
        </w:rPr>
        <w:t xml:space="preserve"> of this chapter, which holds a specific license issued under this chapter” appear in </w:t>
      </w:r>
      <w:r>
        <w:rPr>
          <w:rFonts w:ascii="Times New Roman" w:hAnsi="Times New Roman"/>
          <w:b w:val="false"/>
          <w:i w:val="false"/>
          <w:color w:val="000000"/>
          <w:sz w:val="22"/>
        </w:rPr>
        <w:t>10 CFR 70.19(a)</w:t>
      </w:r>
      <w:r>
        <w:rPr>
          <w:rFonts w:ascii="Times New Roman" w:hAnsi="Times New Roman"/>
          <w:b w:val="false"/>
          <w:i w:val="false"/>
          <w:color w:val="000000"/>
          <w:sz w:val="22"/>
        </w:rPr>
        <w:t>(2), substitute the words “Any person who holds a specific license issued by the NRC.”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“Director, Office of Nuclear Material Safety and Safeguards” appear in </w:t>
      </w:r>
      <w:r>
        <w:rPr>
          <w:rFonts w:ascii="Times New Roman" w:hAnsi="Times New Roman"/>
          <w:b w:val="false"/>
          <w:i w:val="false"/>
          <w:color w:val="000000"/>
          <w:sz w:val="22"/>
        </w:rPr>
        <w:t>10 CFR 70.25(h)</w:t>
      </w:r>
      <w:r>
        <w:rPr>
          <w:rFonts w:ascii="Times New Roman" w:hAnsi="Times New Roman"/>
          <w:b w:val="false"/>
          <w:i w:val="false"/>
          <w:color w:val="000000"/>
          <w:sz w:val="22"/>
        </w:rPr>
        <w:t>(3),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In </w:t>
      </w:r>
      <w:r>
        <w:rPr>
          <w:rFonts w:ascii="Times New Roman" w:hAnsi="Times New Roman"/>
          <w:b w:val="false"/>
          <w:i w:val="false"/>
          <w:color w:val="000000"/>
          <w:sz w:val="22"/>
        </w:rPr>
        <w:t>10 CFR 70.25(a)</w:t>
      </w:r>
      <w:r>
        <w:rPr>
          <w:rFonts w:ascii="Times New Roman" w:hAnsi="Times New Roman"/>
          <w:b w:val="false"/>
          <w:i w:val="false"/>
          <w:color w:val="000000"/>
          <w:sz w:val="22"/>
        </w:rPr>
        <w:t>, “(a)(1) and” is deleted and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In </w:t>
      </w:r>
      <w:r>
        <w:rPr>
          <w:rFonts w:ascii="Times New Roman" w:hAnsi="Times New Roman"/>
          <w:b w:val="false"/>
          <w:i w:val="false"/>
          <w:color w:val="000000"/>
          <w:sz w:val="22"/>
        </w:rPr>
        <w:t>10 CFR 70.38(d)</w:t>
      </w:r>
      <w:r>
        <w:rPr>
          <w:rFonts w:ascii="Times New Roman" w:hAnsi="Times New Roman"/>
          <w:b w:val="false"/>
          <w:i w:val="false"/>
          <w:color w:val="000000"/>
          <w:sz w:val="22"/>
        </w:rPr>
        <w:t xml:space="preserve">, the phrase “consistent with the administrative directions in </w:t>
      </w:r>
      <w:r>
        <w:rPr>
          <w:rFonts w:ascii="Times New Roman" w:hAnsi="Times New Roman"/>
          <w:b w:val="false"/>
          <w:i w:val="false"/>
          <w:color w:val="000000"/>
          <w:sz w:val="22"/>
        </w:rPr>
        <w:t>10 CFR § 70.5</w:t>
      </w:r>
      <w:r>
        <w:rPr>
          <w:rFonts w:ascii="Times New Roman" w:hAnsi="Times New Roman"/>
          <w:b w:val="false"/>
          <w:i w:val="false"/>
          <w:color w:val="000000"/>
          <w:sz w:val="22"/>
        </w:rPr>
        <w:t>” is deleted and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 xml:space="preserve">In </w:t>
      </w:r>
      <w:r>
        <w:rPr>
          <w:rFonts w:ascii="Times New Roman" w:hAnsi="Times New Roman"/>
          <w:b w:val="false"/>
          <w:i w:val="false"/>
          <w:color w:val="000000"/>
          <w:sz w:val="22"/>
        </w:rPr>
        <w:t>10 CFR 70.50(c)</w:t>
      </w:r>
      <w:r>
        <w:rPr>
          <w:rFonts w:ascii="Times New Roman" w:hAnsi="Times New Roman"/>
          <w:b w:val="false"/>
          <w:i w:val="false"/>
          <w:color w:val="000000"/>
          <w:sz w:val="22"/>
        </w:rPr>
        <w:t>(1), the phrase “and by § 70.74 and appendix A of this part, if applicable” is deleted and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t>
      </w:r>
      <w:r>
        <w:rPr>
          <w:rFonts w:ascii="Times New Roman" w:hAnsi="Times New Roman"/>
          <w:b w:val="false"/>
          <w:i w:val="false"/>
          <w:color w:val="000000"/>
          <w:sz w:val="22"/>
        </w:rPr>
        <w:t>10 CFR Part 70</w:t>
      </w:r>
      <w:r>
        <w:rPr>
          <w:rFonts w:ascii="Times New Roman" w:hAnsi="Times New Roman"/>
          <w:b w:val="false"/>
          <w:i w:val="false"/>
          <w:color w:val="000000"/>
          <w:sz w:val="22"/>
        </w:rPr>
        <w:t xml:space="preserve"> references fees listed in </w:t>
      </w:r>
      <w:r>
        <w:rPr>
          <w:rFonts w:ascii="Times New Roman" w:hAnsi="Times New Roman"/>
          <w:b w:val="false"/>
          <w:i w:val="false"/>
          <w:color w:val="000000"/>
          <w:sz w:val="22"/>
        </w:rPr>
        <w:t>10 CFR Parts 170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171</w:t>
      </w:r>
      <w:r>
        <w:rPr>
          <w:rFonts w:ascii="Times New Roman" w:hAnsi="Times New Roman"/>
          <w:b w:val="false"/>
          <w:i w:val="false"/>
          <w:color w:val="000000"/>
          <w:sz w:val="22"/>
        </w:rPr>
        <w:t xml:space="preserve">, licensees shall comply with the fee requirements specified in rule </w:t>
      </w:r>
      <w:hyperlink r:id="rId102">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641—39.17</w:t>
      </w:r>
      <w:r>
        <w:rPr>
          <w:rFonts w:ascii="Times New Roman" w:hAnsi="Times New Roman"/>
          <w:b/>
          <w:i w:val="false"/>
          <w:color w:val="000000"/>
          <w:sz w:val="22"/>
        </w:rPr>
        <w:t xml:space="preserve">(136C) </w:t>
      </w:r>
      <w:r>
        <w:rPr>
          <w:rFonts w:ascii="Times New Roman" w:hAnsi="Times New Roman"/>
          <w:b/>
          <w:i w:val="false"/>
          <w:color w:val="000000"/>
          <w:sz w:val="22"/>
        </w:rPr>
        <w:t xml:space="preserve">Packaging and transportation of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39.17(1)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71</w:t>
      </w:r>
      <w:r>
        <w:rPr>
          <w:rFonts w:ascii="Times New Roman" w:hAnsi="Times New Roman"/>
          <w:b w:val="false"/>
          <w:i w:val="false"/>
          <w:color w:val="000000"/>
          <w:sz w:val="22"/>
        </w:rPr>
        <w:t>, “Packaging and Transportation of Radioactive Material,”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71</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adopted by reference are 71.1, 71.2, 71.6, 71.9, 71.11, 71.14(b), 71.19, 71.31, 71.33, 71.35, 71.37, 71.38, 71.39, 71.41, 71.43, 71.45, 71.51, 71.55, 71.59, 71.61, 71.63, 71.64, 71.65, 71.70, 71.71, 71.73, 71.74, 71.75, 71.77, 71.85(a) through (c), 71.91(b), 71.99, 71.100, 71.101(c)(2) and (d) and (e), 71.107, 71.109, 71.111, 71.113, 71.115, 71.117, 71.119, 71.121, 71.123, and 71.125.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“NRC” appears in </w:t>
      </w:r>
      <w:r>
        <w:rPr>
          <w:rFonts w:ascii="Times New Roman" w:hAnsi="Times New Roman"/>
          <w:b w:val="false"/>
          <w:i w:val="false"/>
          <w:color w:val="000000"/>
          <w:sz w:val="22"/>
        </w:rPr>
        <w:t>10 CFR 71.0(a)</w:t>
      </w:r>
      <w:r>
        <w:rPr>
          <w:rFonts w:ascii="Times New Roman" w:hAnsi="Times New Roman"/>
          <w:b w:val="false"/>
          <w:i w:val="false"/>
          <w:color w:val="000000"/>
          <w:sz w:val="22"/>
        </w:rPr>
        <w:t xml:space="preserve"> and (c) and (d)(both mentions) and (g), 71.5(a), 71.8(b)(2)(both mentions), 71.10, 71.93(c), 71.95(a)(1) and (a)(2) and (c), 71.101(f), and 71.106(a)(all mentions) and (a)(1) and (b)(all mentions) and (b)(1),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“Commission” appears in </w:t>
      </w:r>
      <w:r>
        <w:rPr>
          <w:rFonts w:ascii="Times New Roman" w:hAnsi="Times New Roman"/>
          <w:b w:val="false"/>
          <w:i w:val="false"/>
          <w:color w:val="000000"/>
          <w:sz w:val="22"/>
        </w:rPr>
        <w:t>10 CFR 71.0(c)</w:t>
      </w:r>
      <w:r>
        <w:rPr>
          <w:rFonts w:ascii="Times New Roman" w:hAnsi="Times New Roman"/>
          <w:b w:val="false"/>
          <w:i w:val="false"/>
          <w:color w:val="000000"/>
          <w:sz w:val="22"/>
        </w:rPr>
        <w:t>, 71.3, 71.4, 71.7(a)(both mentions) and (b)(all mentions), 71.8(b)(1) and (d)(1), 71.10, 71.11, 71.12, 71.17(a) and (b), 71.21(a) and (b), 71.22(a) and (b), 71.23(a) and (b), 71.91(c), and 71.101(c) and (c)(2) and (f)(all mentions),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“the Director, Office of Nuclear Materials Safety and Safeguards, US Nuclear Regulatory Commission, Washington, DC 20555-0001” appear in </w:t>
      </w:r>
      <w:r>
        <w:rPr>
          <w:rFonts w:ascii="Times New Roman" w:hAnsi="Times New Roman"/>
          <w:b w:val="false"/>
          <w:i w:val="false"/>
          <w:color w:val="000000"/>
          <w:sz w:val="22"/>
        </w:rPr>
        <w:t>10 CFR 71.5(b)</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“Notification must be provided to the Administrator of the appropriate Regional Office within 2 working days of identifying the information” appear in </w:t>
      </w:r>
      <w:r>
        <w:rPr>
          <w:rFonts w:ascii="Times New Roman" w:hAnsi="Times New Roman"/>
          <w:b w:val="false"/>
          <w:i w:val="false"/>
          <w:color w:val="000000"/>
          <w:sz w:val="22"/>
        </w:rPr>
        <w:t>10 CFR 71.7(b)</w:t>
      </w:r>
      <w:r>
        <w:rPr>
          <w:rFonts w:ascii="Times New Roman" w:hAnsi="Times New Roman"/>
          <w:b w:val="false"/>
          <w:i w:val="false"/>
          <w:color w:val="000000"/>
          <w:sz w:val="22"/>
        </w:rPr>
        <w:t>, substitute the words “Notification must be provided to Iowa HHS within 2 working days of identifying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“the Director, Office of Nuclear Materials Safety and Safeguards, US Nuclear Regulatory Commission, Washington, DC 20555-0001” appear in </w:t>
      </w:r>
      <w:r>
        <w:rPr>
          <w:rFonts w:ascii="Times New Roman" w:hAnsi="Times New Roman"/>
          <w:b w:val="false"/>
          <w:i w:val="false"/>
          <w:color w:val="000000"/>
          <w:sz w:val="22"/>
        </w:rPr>
        <w:t>10 CFR 71.5(b)</w:t>
      </w:r>
      <w:r>
        <w:rPr>
          <w:rFonts w:ascii="Times New Roman" w:hAnsi="Times New Roman"/>
          <w:b w:val="false"/>
          <w:i w:val="false"/>
          <w:color w:val="000000"/>
          <w:sz w:val="22"/>
        </w:rPr>
        <w:t>,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Where the section “</w:t>
      </w:r>
      <w:r>
        <w:rPr>
          <w:rFonts w:ascii="Times New Roman" w:hAnsi="Times New Roman"/>
          <w:b w:val="false"/>
          <w:i/>
          <w:color w:val="000000"/>
          <w:sz w:val="22"/>
        </w:rPr>
        <w:t>Approval of program.</w:t>
      </w:r>
      <w:r>
        <w:rPr>
          <w:rFonts w:ascii="Times New Roman" w:hAnsi="Times New Roman"/>
          <w:b w:val="false"/>
          <w:i w:val="false"/>
          <w:color w:val="000000"/>
          <w:sz w:val="22"/>
        </w:rPr>
        <w:t xml:space="preserve"> (1) Before the use of any package for the shipment of licensed material subject to this subpart, each licensee shall obtain Commission approval of its quality assurance program. Using an appropriate method listed in § 71.1(a), each licensee shall file a description of its quality assurance program, including a discussion of which requirements of this subpart are applicable and how they will be satisfied, by submitting the description to: ATTN: Document Control Desk, Director, Division of Fuel Management, Office of Nuclear Material Safety and Safeguards,” appears in </w:t>
      </w:r>
      <w:r>
        <w:rPr>
          <w:rFonts w:ascii="Times New Roman" w:hAnsi="Times New Roman"/>
          <w:b w:val="false"/>
          <w:i w:val="false"/>
          <w:color w:val="000000"/>
          <w:sz w:val="22"/>
        </w:rPr>
        <w:t>10 CFR 71.101(c)</w:t>
      </w:r>
      <w:r>
        <w:rPr>
          <w:rFonts w:ascii="Times New Roman" w:hAnsi="Times New Roman"/>
          <w:b w:val="false"/>
          <w:i w:val="false"/>
          <w:color w:val="000000"/>
          <w:sz w:val="22"/>
        </w:rPr>
        <w:t>, substitute with “</w:t>
      </w:r>
      <w:r>
        <w:rPr>
          <w:rFonts w:ascii="Times New Roman" w:hAnsi="Times New Roman"/>
          <w:b w:val="false"/>
          <w:i/>
          <w:color w:val="000000"/>
          <w:sz w:val="22"/>
        </w:rPr>
        <w:t>Approval of program.</w:t>
      </w:r>
      <w:r>
        <w:rPr>
          <w:rFonts w:ascii="Times New Roman" w:hAnsi="Times New Roman"/>
          <w:b w:val="false"/>
          <w:i w:val="false"/>
          <w:color w:val="000000"/>
          <w:sz w:val="22"/>
        </w:rPr>
        <w:t xml:space="preserve"> (1) Before the use of any package for the shipment of licensed material subject to this subpart, each licensee shall obtain Iowa HHS’s approval of its quality assurance program. Each licensee shall file a description of its quality assurance program, including a discussion of which requirements of this subpart are applicable and how they will be satisfied, with Iowa HHS.”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641—39.18</w:t>
      </w:r>
      <w:r>
        <w:rPr>
          <w:rFonts w:ascii="Times New Roman" w:hAnsi="Times New Roman"/>
          <w:b/>
          <w:i w:val="false"/>
          <w:color w:val="000000"/>
          <w:sz w:val="22"/>
        </w:rPr>
        <w:t xml:space="preserve">(136C) </w:t>
      </w:r>
      <w:r>
        <w:rPr>
          <w:rFonts w:ascii="Times New Roman" w:hAnsi="Times New Roman"/>
          <w:b/>
          <w:i w:val="false"/>
          <w:color w:val="000000"/>
          <w:sz w:val="22"/>
        </w:rPr>
        <w:t xml:space="preserve">Reciprocal recognition of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rules of this chapter, RAM facilities shall comply with the requirements of </w:t>
      </w:r>
      <w:r>
        <w:rPr>
          <w:rFonts w:ascii="Times New Roman" w:hAnsi="Times New Roman"/>
          <w:b w:val="false"/>
          <w:i w:val="false"/>
          <w:color w:val="000000"/>
          <w:sz w:val="22"/>
        </w:rPr>
        <w:t>10 CFR Part 150</w:t>
      </w:r>
      <w:r>
        <w:rPr>
          <w:rFonts w:ascii="Times New Roman" w:hAnsi="Times New Roman"/>
          <w:b w:val="false"/>
          <w:i w:val="false"/>
          <w:color w:val="000000"/>
          <w:sz w:val="22"/>
        </w:rPr>
        <w:t>, “Packaging and Transportation of Radioactive Material,” unless specific exemptions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150</w:t>
      </w:r>
      <w:r>
        <w:rPr>
          <w:rFonts w:ascii="Times New Roman" w:hAnsi="Times New Roman"/>
          <w:b w:val="false"/>
          <w:i w:val="false"/>
          <w:color w:val="000000"/>
          <w:sz w:val="22"/>
        </w:rPr>
        <w:t xml:space="preserve"> are hereby adopted by reference and are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 adopted by reference are </w:t>
      </w:r>
      <w:r>
        <w:rPr>
          <w:rFonts w:ascii="Times New Roman" w:hAnsi="Times New Roman"/>
          <w:b w:val="false"/>
          <w:i w:val="false"/>
          <w:color w:val="000000"/>
          <w:sz w:val="22"/>
        </w:rPr>
        <w:t>10 CFR 150.3</w:t>
      </w:r>
      <w:r>
        <w:rPr>
          <w:rFonts w:ascii="Times New Roman" w:hAnsi="Times New Roman"/>
          <w:b w:val="false"/>
          <w:i w:val="false"/>
          <w:color w:val="000000"/>
          <w:sz w:val="22"/>
        </w:rPr>
        <w:t xml:space="preserve"> definition of “foreign obligations,” 150.4, 150.5, 150.7, 150.8, 150.10, 150.14, 150.15, 150.15a, 150.16, 150.17, 150.17a, 150.19, 150.21, 150.30, and 150.33.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“Recognition of Agreement State licenses” appear in the title of </w:t>
      </w:r>
      <w:r>
        <w:rPr>
          <w:rFonts w:ascii="Times New Roman" w:hAnsi="Times New Roman"/>
          <w:b w:val="false"/>
          <w:i w:val="false"/>
          <w:color w:val="000000"/>
          <w:sz w:val="22"/>
        </w:rPr>
        <w:t>10 CFR Part 150</w:t>
      </w:r>
      <w:r>
        <w:rPr>
          <w:rFonts w:ascii="Times New Roman" w:hAnsi="Times New Roman"/>
          <w:b w:val="false"/>
          <w:i w:val="false"/>
          <w:color w:val="000000"/>
          <w:sz w:val="22"/>
        </w:rPr>
        <w:t>.20, substitute the words “Recognition of U.S. Nuclear Regulatory Commission or Agreement State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sentence “Provided that the provisions of paragraph (b) of this section have been met, any person who holds a specific license from an Agreement State, where the licensee maintains an office for directing the licensed activity and retaining radiation safety records, is granted a general license to conduct the same activity in” appears in </w:t>
      </w:r>
      <w:r>
        <w:rPr>
          <w:rFonts w:ascii="Times New Roman" w:hAnsi="Times New Roman"/>
          <w:b w:val="false"/>
          <w:i w:val="false"/>
          <w:color w:val="000000"/>
          <w:sz w:val="22"/>
        </w:rPr>
        <w:t>10 CFR 150.20(a)</w:t>
      </w:r>
      <w:r>
        <w:rPr>
          <w:rFonts w:ascii="Times New Roman" w:hAnsi="Times New Roman"/>
          <w:b w:val="false"/>
          <w:i w:val="false"/>
          <w:color w:val="000000"/>
          <w:sz w:val="22"/>
        </w:rPr>
        <w:t>(1), substitute the sentence  “Provided that the provisions of paragraph (b) of this section have been met, any person who holds a specific license from the U.S. Nuclear Regulatory Commission or an Agreement State, where the licensee maintains an office for directing the licensed activity and retaining radiation safety records, is granted a general license to conduct the same activity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“specific Agreement State license” appear in </w:t>
      </w:r>
      <w:r>
        <w:rPr>
          <w:rFonts w:ascii="Times New Roman" w:hAnsi="Times New Roman"/>
          <w:b w:val="false"/>
          <w:i w:val="false"/>
          <w:color w:val="000000"/>
          <w:sz w:val="22"/>
        </w:rPr>
        <w:t>10 CFR 150.20(a)</w:t>
      </w:r>
      <w:r>
        <w:rPr>
          <w:rFonts w:ascii="Times New Roman" w:hAnsi="Times New Roman"/>
          <w:b w:val="false"/>
          <w:i w:val="false"/>
          <w:color w:val="000000"/>
          <w:sz w:val="22"/>
        </w:rPr>
        <w:t>(2), substitute the words “specific U.S. Nuclear Regulatory Commission or Agreement State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w:t>
      </w:r>
      <w:r>
        <w:rPr>
          <w:rFonts w:ascii="Times New Roman" w:hAnsi="Times New Roman"/>
          <w:b w:val="false"/>
          <w:i w:val="false"/>
          <w:color w:val="000000"/>
          <w:sz w:val="22"/>
        </w:rPr>
        <w:t>10 CFR 150.20(b)</w:t>
      </w:r>
      <w:r>
        <w:rPr>
          <w:rFonts w:ascii="Times New Roman" w:hAnsi="Times New Roman"/>
          <w:b w:val="false"/>
          <w:i w:val="false"/>
          <w:color w:val="000000"/>
          <w:sz w:val="22"/>
        </w:rPr>
        <w:t xml:space="preserve"> states “Notwithstanding any provision to the contrary in any specific license issued by an Agreement State to a person engaging in activities in a non-Agreement State, in an area of exclusive Federal jurisdiction within an Agreement State, or in offshore waters under the general licenses provided in this section, the general licenses provided in this section are subject to all the provisions of the Act, now or hereafter in effect, and to all applicable rules, regulations, and orders of the Commission including the provisions of §§ 30.7(a) through (f), 30.9, 30.10, 30.34, 30.41, and 30.51 through 30.63 of this chapter; §§ 40.7(a) through (f), 40.9, 40.10, 40.41, 40.51, 40.61 through 40.63, 40.71, and 40.81 of this chapter; §§ 70.7(a) through (f), 70.9, 70.10, 70.32, 70.42, 70.52, 70.55, 70.56, 70.60 through 70.62 of this chapter; §§ 74.11, 74.15, and 74.19 of this chapter; and to the provisions of </w:t>
      </w:r>
      <w:r>
        <w:rPr>
          <w:rFonts w:ascii="Times New Roman" w:hAnsi="Times New Roman"/>
          <w:b w:val="false"/>
          <w:i w:val="false"/>
          <w:color w:val="000000"/>
          <w:sz w:val="22"/>
        </w:rPr>
        <w:t>10 CFR parts 19</w:t>
      </w:r>
      <w:r>
        <w:rPr>
          <w:rFonts w:ascii="Times New Roman" w:hAnsi="Times New Roman"/>
          <w:b w:val="false"/>
          <w:i w:val="false"/>
          <w:color w:val="000000"/>
          <w:sz w:val="22"/>
        </w:rPr>
        <w:t xml:space="preserve">, </w:t>
      </w:r>
      <w:r>
        <w:rPr>
          <w:rFonts w:ascii="Times New Roman" w:hAnsi="Times New Roman"/>
          <w:b w:val="false"/>
          <w:i w:val="false"/>
          <w:color w:val="000000"/>
          <w:sz w:val="22"/>
        </w:rPr>
        <w:t>20</w:t>
      </w:r>
      <w:r>
        <w:rPr>
          <w:rFonts w:ascii="Times New Roman" w:hAnsi="Times New Roman"/>
          <w:b w:val="false"/>
          <w:i w:val="false"/>
          <w:color w:val="000000"/>
          <w:sz w:val="22"/>
        </w:rPr>
        <w:t xml:space="preserve"> and </w:t>
      </w:r>
      <w:r>
        <w:rPr>
          <w:rFonts w:ascii="Times New Roman" w:hAnsi="Times New Roman"/>
          <w:b w:val="false"/>
          <w:i w:val="false"/>
          <w:color w:val="000000"/>
          <w:sz w:val="22"/>
        </w:rPr>
        <w:t>71</w:t>
      </w:r>
      <w:r>
        <w:rPr>
          <w:rFonts w:ascii="Times New Roman" w:hAnsi="Times New Roman"/>
          <w:b w:val="false"/>
          <w:i w:val="false"/>
          <w:color w:val="000000"/>
          <w:sz w:val="22"/>
        </w:rPr>
        <w:t xml:space="preserve"> and subparts C through H of part 34, §§ 39.15 and 39.31 through 39.77 of this chapter. In addition, any person engaging in activities in non-Agreement States, in areas of exclusive Federal jurisdiction within Agreement States, or in offshore waters under the general licenses provided in this section,” substitute with the sentences “Notwithstanding any provision to the contrary in any specific license issued by the U.S. Nuclear Regulatory Commission or an Agreement State to a person engaging in activities in Iowa under the general licenses provided in this section, the general licenses provided in this section are subject to all the provisions of Iowa Code chapter </w:t>
      </w:r>
      <w:hyperlink r:id="rId103">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now or hereafter in effect, and to all applicable rules, regulations, and orders of Iowa HHS including the provisions of 10 CFR §§ 30.9, 10 CFR  30.10, </w:t>
      </w:r>
      <w:r>
        <w:rPr>
          <w:rFonts w:ascii="Times New Roman" w:hAnsi="Times New Roman"/>
          <w:b w:val="false"/>
          <w:i w:val="false"/>
          <w:color w:val="000000"/>
          <w:sz w:val="22"/>
        </w:rPr>
        <w:t>10 CFR 30.34</w:t>
      </w:r>
      <w:r>
        <w:rPr>
          <w:rFonts w:ascii="Times New Roman" w:hAnsi="Times New Roman"/>
          <w:b w:val="false"/>
          <w:i w:val="false"/>
          <w:color w:val="000000"/>
          <w:sz w:val="22"/>
        </w:rPr>
        <w:t xml:space="preserve">, </w:t>
      </w:r>
      <w:r>
        <w:rPr>
          <w:rFonts w:ascii="Times New Roman" w:hAnsi="Times New Roman"/>
          <w:b w:val="false"/>
          <w:i w:val="false"/>
          <w:color w:val="000000"/>
          <w:sz w:val="22"/>
        </w:rPr>
        <w:t>10 CFR 30.41</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 CFR 30.51</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10 CFR 30.62</w:t>
      </w:r>
      <w:r>
        <w:rPr>
          <w:rFonts w:ascii="Times New Roman" w:hAnsi="Times New Roman"/>
          <w:b w:val="false"/>
          <w:i w:val="false"/>
          <w:color w:val="000000"/>
          <w:sz w:val="22"/>
        </w:rPr>
        <w:t xml:space="preserve"> of this chapter; 10 CFR §§ 40.9, </w:t>
      </w:r>
      <w:r>
        <w:rPr>
          <w:rFonts w:ascii="Times New Roman" w:hAnsi="Times New Roman"/>
          <w:b w:val="false"/>
          <w:i w:val="false"/>
          <w:color w:val="000000"/>
          <w:sz w:val="22"/>
        </w:rPr>
        <w:t>10 CFR 40.10(a)</w:t>
      </w:r>
      <w:r>
        <w:rPr>
          <w:rFonts w:ascii="Times New Roman" w:hAnsi="Times New Roman"/>
          <w:b w:val="false"/>
          <w:i w:val="false"/>
          <w:color w:val="000000"/>
          <w:sz w:val="22"/>
        </w:rPr>
        <w:t xml:space="preserve">, </w:t>
      </w:r>
      <w:r>
        <w:rPr>
          <w:rFonts w:ascii="Times New Roman" w:hAnsi="Times New Roman"/>
          <w:b w:val="false"/>
          <w:i w:val="false"/>
          <w:color w:val="000000"/>
          <w:sz w:val="22"/>
        </w:rPr>
        <w:t>10 CFR 40.41</w:t>
      </w:r>
      <w:r>
        <w:rPr>
          <w:rFonts w:ascii="Times New Roman" w:hAnsi="Times New Roman"/>
          <w:b w:val="false"/>
          <w:i w:val="false"/>
          <w:color w:val="000000"/>
          <w:sz w:val="22"/>
        </w:rPr>
        <w:t xml:space="preserve">, </w:t>
      </w:r>
      <w:r>
        <w:rPr>
          <w:rFonts w:ascii="Times New Roman" w:hAnsi="Times New Roman"/>
          <w:b w:val="false"/>
          <w:i w:val="false"/>
          <w:color w:val="000000"/>
          <w:sz w:val="22"/>
        </w:rPr>
        <w:t>10 CFR 40.51</w:t>
      </w:r>
      <w:r>
        <w:rPr>
          <w:rFonts w:ascii="Times New Roman" w:hAnsi="Times New Roman"/>
          <w:b w:val="false"/>
          <w:i w:val="false"/>
          <w:color w:val="000000"/>
          <w:sz w:val="22"/>
        </w:rPr>
        <w:t xml:space="preserve">, </w:t>
      </w:r>
      <w:r>
        <w:rPr>
          <w:rFonts w:ascii="Times New Roman" w:hAnsi="Times New Roman"/>
          <w:b w:val="false"/>
          <w:i w:val="false"/>
          <w:color w:val="000000"/>
          <w:sz w:val="22"/>
        </w:rPr>
        <w:t>10 CFR 40.61</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10 CFR 40.63</w:t>
      </w:r>
      <w:r>
        <w:rPr>
          <w:rFonts w:ascii="Times New Roman" w:hAnsi="Times New Roman"/>
          <w:b w:val="false"/>
          <w:i w:val="false"/>
          <w:color w:val="000000"/>
          <w:sz w:val="22"/>
        </w:rPr>
        <w:t xml:space="preserve"> of this chapter; 10 CFR §§ 70.9, </w:t>
      </w:r>
      <w:r>
        <w:rPr>
          <w:rFonts w:ascii="Times New Roman" w:hAnsi="Times New Roman"/>
          <w:b w:val="false"/>
          <w:i w:val="false"/>
          <w:color w:val="000000"/>
          <w:sz w:val="22"/>
        </w:rPr>
        <w:t>10 CFR 70.10(a)</w:t>
      </w:r>
      <w:r>
        <w:rPr>
          <w:rFonts w:ascii="Times New Roman" w:hAnsi="Times New Roman"/>
          <w:b w:val="false"/>
          <w:i w:val="false"/>
          <w:color w:val="000000"/>
          <w:sz w:val="22"/>
        </w:rPr>
        <w:t xml:space="preserve">, </w:t>
      </w:r>
      <w:r>
        <w:rPr>
          <w:rFonts w:ascii="Times New Roman" w:hAnsi="Times New Roman"/>
          <w:b w:val="false"/>
          <w:i w:val="false"/>
          <w:color w:val="000000"/>
          <w:sz w:val="22"/>
        </w:rPr>
        <w:t>10 CFR 70.32</w:t>
      </w:r>
      <w:r>
        <w:rPr>
          <w:rFonts w:ascii="Times New Roman" w:hAnsi="Times New Roman"/>
          <w:b w:val="false"/>
          <w:i w:val="false"/>
          <w:color w:val="000000"/>
          <w:sz w:val="22"/>
        </w:rPr>
        <w:t xml:space="preserve">, </w:t>
      </w:r>
      <w:r>
        <w:rPr>
          <w:rFonts w:ascii="Times New Roman" w:hAnsi="Times New Roman"/>
          <w:b w:val="false"/>
          <w:i w:val="false"/>
          <w:color w:val="000000"/>
          <w:sz w:val="22"/>
        </w:rPr>
        <w:t>10 CFR 70.42</w:t>
      </w:r>
      <w:r>
        <w:rPr>
          <w:rFonts w:ascii="Times New Roman" w:hAnsi="Times New Roman"/>
          <w:b w:val="false"/>
          <w:i w:val="false"/>
          <w:color w:val="000000"/>
          <w:sz w:val="22"/>
        </w:rPr>
        <w:t xml:space="preserve">, </w:t>
      </w:r>
      <w:r>
        <w:rPr>
          <w:rFonts w:ascii="Times New Roman" w:hAnsi="Times New Roman"/>
          <w:b w:val="false"/>
          <w:i w:val="false"/>
          <w:color w:val="000000"/>
          <w:sz w:val="22"/>
        </w:rPr>
        <w:t>10 CFR 70.55</w:t>
      </w:r>
      <w:r>
        <w:rPr>
          <w:rFonts w:ascii="Times New Roman" w:hAnsi="Times New Roman"/>
          <w:b w:val="false"/>
          <w:i w:val="false"/>
          <w:color w:val="000000"/>
          <w:sz w:val="22"/>
        </w:rPr>
        <w:t xml:space="preserve">, </w:t>
      </w:r>
      <w:r>
        <w:rPr>
          <w:rFonts w:ascii="Times New Roman" w:hAnsi="Times New Roman"/>
          <w:b w:val="false"/>
          <w:i w:val="false"/>
          <w:color w:val="000000"/>
          <w:sz w:val="22"/>
        </w:rPr>
        <w:t>10 CFR 70.56</w:t>
      </w:r>
      <w:r>
        <w:rPr>
          <w:rFonts w:ascii="Times New Roman" w:hAnsi="Times New Roman"/>
          <w:b w:val="false"/>
          <w:i w:val="false"/>
          <w:color w:val="000000"/>
          <w:sz w:val="22"/>
        </w:rPr>
        <w:t xml:space="preserve"> of this chapter; 10 CFR §§ 74.11, </w:t>
      </w:r>
      <w:r>
        <w:rPr>
          <w:rFonts w:ascii="Times New Roman" w:hAnsi="Times New Roman"/>
          <w:b w:val="false"/>
          <w:i w:val="false"/>
          <w:color w:val="000000"/>
          <w:sz w:val="22"/>
        </w:rPr>
        <w:t>10 CFR 74.15</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 CFR 74.19</w:t>
      </w:r>
      <w:r>
        <w:rPr>
          <w:rFonts w:ascii="Times New Roman" w:hAnsi="Times New Roman"/>
          <w:b w:val="false"/>
          <w:i w:val="false"/>
          <w:color w:val="000000"/>
          <w:sz w:val="22"/>
        </w:rPr>
        <w:t xml:space="preserve"> of this chapter; and to the provisions of </w:t>
      </w:r>
      <w:r>
        <w:rPr>
          <w:rFonts w:ascii="Times New Roman" w:hAnsi="Times New Roman"/>
          <w:b w:val="false"/>
          <w:i w:val="false"/>
          <w:color w:val="000000"/>
          <w:sz w:val="22"/>
        </w:rPr>
        <w:t>10 CFR parts 19</w:t>
      </w:r>
      <w:r>
        <w:rPr>
          <w:rFonts w:ascii="Times New Roman" w:hAnsi="Times New Roman"/>
          <w:b w:val="false"/>
          <w:i w:val="false"/>
          <w:color w:val="000000"/>
          <w:sz w:val="22"/>
        </w:rPr>
        <w:t xml:space="preserve">, </w:t>
      </w:r>
      <w:r>
        <w:rPr>
          <w:rFonts w:ascii="Times New Roman" w:hAnsi="Times New Roman"/>
          <w:b w:val="false"/>
          <w:i w:val="false"/>
          <w:color w:val="000000"/>
          <w:sz w:val="22"/>
        </w:rPr>
        <w:t>20</w:t>
      </w:r>
      <w:r>
        <w:rPr>
          <w:rFonts w:ascii="Times New Roman" w:hAnsi="Times New Roman"/>
          <w:b w:val="false"/>
          <w:i w:val="false"/>
          <w:color w:val="000000"/>
          <w:sz w:val="22"/>
        </w:rPr>
        <w:t xml:space="preserve"> and </w:t>
      </w:r>
      <w:r>
        <w:rPr>
          <w:rFonts w:ascii="Times New Roman" w:hAnsi="Times New Roman"/>
          <w:b w:val="false"/>
          <w:i w:val="false"/>
          <w:color w:val="000000"/>
          <w:sz w:val="22"/>
        </w:rPr>
        <w:t>71</w:t>
      </w:r>
      <w:r>
        <w:rPr>
          <w:rFonts w:ascii="Times New Roman" w:hAnsi="Times New Roman"/>
          <w:b w:val="false"/>
          <w:i w:val="false"/>
          <w:color w:val="000000"/>
          <w:sz w:val="22"/>
        </w:rPr>
        <w:t xml:space="preserve"> and subparts C through F of part 34, 10 CFR §§ 39.15 and </w:t>
      </w:r>
      <w:r>
        <w:rPr>
          <w:rFonts w:ascii="Times New Roman" w:hAnsi="Times New Roman"/>
          <w:b w:val="false"/>
          <w:i w:val="false"/>
          <w:color w:val="000000"/>
          <w:sz w:val="22"/>
        </w:rPr>
        <w:t>10 CFR 39.31</w:t>
      </w:r>
      <w:r>
        <w:rPr>
          <w:rFonts w:ascii="Times New Roman" w:hAnsi="Times New Roman"/>
          <w:b w:val="false"/>
          <w:i w:val="false"/>
          <w:color w:val="000000"/>
          <w:sz w:val="22"/>
        </w:rPr>
        <w:t xml:space="preserve"> through 39.77 of this chapter. In addition, any person engaging in activities in Iowa under the general licenses provided in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“file a submittal containing an NRC Form 241, ‘Report of Proposed Activities in Non-Agreement States’ a copy of its Agreement State specific license, and the appropriate fee as prescribed in § 170.31 of this chapter with the Regional Administrator of the U.S. Nuclear Regulatory Commission Regional Office listed on the NRC Form 241 and in appendix D to part 20 of this chapter for the Region in which the Agreement State that issued the license is located” appear in </w:t>
      </w:r>
      <w:r>
        <w:rPr>
          <w:rFonts w:ascii="Times New Roman" w:hAnsi="Times New Roman"/>
          <w:b w:val="false"/>
          <w:i w:val="false"/>
          <w:color w:val="000000"/>
          <w:sz w:val="22"/>
        </w:rPr>
        <w:t>10 CFR 150.20(b)</w:t>
      </w:r>
      <w:r>
        <w:rPr>
          <w:rFonts w:ascii="Times New Roman" w:hAnsi="Times New Roman"/>
          <w:b w:val="false"/>
          <w:i w:val="false"/>
          <w:color w:val="000000"/>
          <w:sz w:val="22"/>
        </w:rPr>
        <w:t>(1), substitute the words “file a copy of its U.S. Nuclear Regulatory Commission or Agreement State specific license, with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chapter, where </w:t>
      </w:r>
      <w:r>
        <w:rPr>
          <w:rFonts w:ascii="Times New Roman" w:hAnsi="Times New Roman"/>
          <w:b w:val="false"/>
          <w:i w:val="false"/>
          <w:color w:val="000000"/>
          <w:sz w:val="22"/>
        </w:rPr>
        <w:t>10 CFR 150.20(b)</w:t>
      </w:r>
      <w:r>
        <w:rPr>
          <w:rFonts w:ascii="Times New Roman" w:hAnsi="Times New Roman"/>
          <w:b w:val="false"/>
          <w:i w:val="false"/>
          <w:color w:val="000000"/>
          <w:sz w:val="22"/>
        </w:rPr>
        <w:t>(1)(i), (b)(1)(iii), and (b)(2) require “NRC Form 241,” licensees shall use “Iowa HHS Form 241.”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 “Region” appears in </w:t>
      </w:r>
      <w:r>
        <w:rPr>
          <w:rFonts w:ascii="Times New Roman" w:hAnsi="Times New Roman"/>
          <w:b w:val="false"/>
          <w:i w:val="false"/>
          <w:color w:val="000000"/>
          <w:sz w:val="22"/>
        </w:rPr>
        <w:t>10 CFR 150.20(b)</w:t>
      </w:r>
      <w:r>
        <w:rPr>
          <w:rFonts w:ascii="Times New Roman" w:hAnsi="Times New Roman"/>
          <w:b w:val="false"/>
          <w:i w:val="false"/>
          <w:color w:val="000000"/>
          <w:sz w:val="22"/>
        </w:rPr>
        <w:t>(1)(i) and (b)(1)(ii),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“Regional Administrator” appear in </w:t>
      </w:r>
      <w:r>
        <w:rPr>
          <w:rFonts w:ascii="Times New Roman" w:hAnsi="Times New Roman"/>
          <w:b w:val="false"/>
          <w:i w:val="false"/>
          <w:color w:val="000000"/>
          <w:sz w:val="22"/>
        </w:rPr>
        <w:t>10 CFR 150.20(b)</w:t>
      </w:r>
      <w:r>
        <w:rPr>
          <w:rFonts w:ascii="Times New Roman" w:hAnsi="Times New Roman"/>
          <w:b w:val="false"/>
          <w:i w:val="false"/>
          <w:color w:val="000000"/>
          <w:sz w:val="22"/>
        </w:rPr>
        <w:t>(1) and (b)(2), substitute the words “Iowa HHS.”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“a copy of the Agreement State license, and the fee payment” appear in </w:t>
      </w:r>
      <w:r>
        <w:rPr>
          <w:rFonts w:ascii="Times New Roman" w:hAnsi="Times New Roman"/>
          <w:b w:val="false"/>
          <w:i w:val="false"/>
          <w:color w:val="000000"/>
          <w:sz w:val="22"/>
        </w:rPr>
        <w:t>10 CFR 150.20(b)</w:t>
      </w:r>
      <w:r>
        <w:rPr>
          <w:rFonts w:ascii="Times New Roman" w:hAnsi="Times New Roman"/>
          <w:b w:val="false"/>
          <w:i w:val="false"/>
          <w:color w:val="000000"/>
          <w:sz w:val="22"/>
        </w:rPr>
        <w:t>(iii), substitute the words “a copy of the U.S. Nuclear Regulatory Commission or Agreement State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sentence “Shall not, in any non-Agreement State, in an area of exclusive Federal jurisdiction within an Agreement State, or in offshore waters, transfer or dispose of radioactive material possessed or used under the general licenses provided in this section, except by transfer to a person who is specifically licensed by the Commission to receive this material.” appears in </w:t>
      </w:r>
      <w:r>
        <w:rPr>
          <w:rFonts w:ascii="Times New Roman" w:hAnsi="Times New Roman"/>
          <w:b w:val="false"/>
          <w:i w:val="false"/>
          <w:color w:val="000000"/>
          <w:sz w:val="22"/>
        </w:rPr>
        <w:t>10 CFR 150.20(b)</w:t>
      </w:r>
      <w:r>
        <w:rPr>
          <w:rFonts w:ascii="Times New Roman" w:hAnsi="Times New Roman"/>
          <w:b w:val="false"/>
          <w:i w:val="false"/>
          <w:color w:val="000000"/>
          <w:sz w:val="22"/>
        </w:rPr>
        <w:t>(3), substitute the sentence “Shall not, in Iowa, transfer or dispose of radioactive material possessed or used under the general licenses provided in this section, except by transfer to a person who is specifically licensed by Iowa HHS to receive this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sentence “Shall not, under the general license concerning activities in non-Agreement States or in areas of exclusive Federal jurisdiction within Agreement States, possess or use radioactive materials, or engage in the activities authorized in paragraph (a) of this section, for more than 180 days in any calendar year, except that the general license in paragraph (a) of this section concerning activities in offshore waters authorizes that person to possess or use radioactive materials, or engage in the activities authorized, for an unlimited period of time” appears in </w:t>
      </w:r>
      <w:r>
        <w:rPr>
          <w:rFonts w:ascii="Times New Roman" w:hAnsi="Times New Roman"/>
          <w:b w:val="false"/>
          <w:i w:val="false"/>
          <w:color w:val="000000"/>
          <w:sz w:val="22"/>
        </w:rPr>
        <w:t>10 CFR 150.20(b)</w:t>
      </w:r>
      <w:r>
        <w:rPr>
          <w:rFonts w:ascii="Times New Roman" w:hAnsi="Times New Roman"/>
          <w:b w:val="false"/>
          <w:i w:val="false"/>
          <w:color w:val="000000"/>
          <w:sz w:val="22"/>
        </w:rPr>
        <w:t>(4), substitute the sentence “Shall not, under the general license concerning activities in Iowa, possess or use radioactive materials, or engage in the activities authorized in paragraph (a) of this section, for more than 180 days in any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words “specific license issued by an Agreement State” appear in </w:t>
      </w:r>
      <w:r>
        <w:rPr>
          <w:rFonts w:ascii="Times New Roman" w:hAnsi="Times New Roman"/>
          <w:b w:val="false"/>
          <w:i w:val="false"/>
          <w:color w:val="000000"/>
          <w:sz w:val="22"/>
        </w:rPr>
        <w:t>10 CFR 150.20(b)</w:t>
      </w:r>
      <w:r>
        <w:rPr>
          <w:rFonts w:ascii="Times New Roman" w:hAnsi="Times New Roman"/>
          <w:b w:val="false"/>
          <w:i w:val="false"/>
          <w:color w:val="000000"/>
          <w:sz w:val="22"/>
        </w:rPr>
        <w:t>(5), substitute the words “specific license issued by the U.S. Nuclear Regulatory Commission or an Agreement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0179D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4">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br w:type="page"/>
      </w:r>
      <w:r>
        <w:rPr>
          <w:rFonts w:ascii="Times New Roman" w:hAnsi="Times New Roman"/>
          <w:b w:val="false"/>
          <w:i w:val="false"/>
          <w:color w:val="000000"/>
          <w:sz w:val="22"/>
        </w:rPr>
        <w:t>CHAPTER 39—APPENDIX A</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SUBJECTS FOR INSTRUCTION OF</w:t>
      </w:r>
    </w:p>
    <w:p>
      <w:pPr>
        <w:spacing w:before="0" w:after="0"/>
        <w:ind w:left="120"/>
        <w:jc w:val="center"/>
      </w:pPr>
      <w:r>
        <w:rPr>
          <w:rFonts w:ascii="Times New Roman" w:hAnsi="Times New Roman"/>
          <w:b w:val="false"/>
          <w:i w:val="false"/>
          <w:color w:val="000000"/>
          <w:sz w:val="22"/>
        </w:rPr>
        <w:t>RADIOGRAPHER’S ASSISTANTS</w:t>
      </w:r>
    </w:p>
    <w:p>
      <w:pPr>
        <w:spacing w:before="0" w:after="0"/>
        <w:ind w:left="120"/>
        <w:jc w:val="both"/>
      </w:pPr>
      <w:r>
        <w:rPr>
          <w:rFonts w:ascii="Times New Roman" w:hAnsi="Times New Roman"/>
          <w:b w:val="false"/>
          <w:i w:val="false"/>
          <w:color w:val="000000"/>
          <w:sz w:val="22"/>
        </w:rPr>
        <w:t xml:space="preserve">Training provided to qualify individuals as radiographer’s assistants in compliance with paragraph </w:t>
      </w:r>
      <w:hyperlink r:id="rId105">
        <w:r>
          <w:rPr>
            <w:rStyle w:val="Hyperlink"/>
            <w:rFonts w:ascii="Times New Roman" w:hAnsi="Times New Roman"/>
            <w:b w:val="false"/>
            <w:i w:val="false"/>
            <w:color w:val="000000"/>
            <w:sz w:val="22"/>
          </w:rPr>
          <w:t>39.10(2)</w:t>
        </w:r>
        <w:r>
          <w:rPr>
            <w:rFonts w:ascii="Times New Roman" w:hAnsi="Times New Roman"/>
            <w:b w:val="false"/>
            <w:i/>
            <w:color w:val="000000"/>
            <w:sz w:val="22"/>
          </w:rPr>
          <w:t>“g”</w:t>
        </w:r>
      </w:hyperlink>
      <w:r>
        <w:rPr>
          <w:rFonts w:ascii="Times New Roman" w:hAnsi="Times New Roman"/>
          <w:b w:val="false"/>
          <w:i w:val="false"/>
          <w:color w:val="000000"/>
          <w:sz w:val="22"/>
        </w:rPr>
        <w:t xml:space="preserve"> shall be presented on a formal basis. The training shall include the following subjects:</w:t>
      </w:r>
    </w:p>
    <w:p>
      <w:pPr>
        <w:spacing w:before="0" w:after="0"/>
        <w:ind w:left="120"/>
        <w:jc w:val="both"/>
      </w:pPr>
      <w:r>
        <w:rPr>
          <w:rFonts w:ascii="Times New Roman" w:hAnsi="Times New Roman"/>
          <w:b w:val="false"/>
          <w:i w:val="false"/>
          <w:color w:val="000000"/>
          <w:sz w:val="22"/>
        </w:rPr>
        <w:t>I. Fundamentals of radiation safety</w:t>
      </w:r>
    </w:p>
    <w:p>
      <w:pPr>
        <w:spacing w:before="0" w:after="0"/>
        <w:ind w:left="120"/>
        <w:jc w:val="both"/>
      </w:pPr>
      <w:r>
        <w:rPr>
          <w:rFonts w:ascii="Times New Roman" w:hAnsi="Times New Roman"/>
          <w:b w:val="false"/>
          <w:i w:val="false"/>
          <w:color w:val="000000"/>
          <w:sz w:val="22"/>
        </w:rPr>
        <w:t>A. Characteristics of radiation</w:t>
      </w:r>
    </w:p>
    <w:p>
      <w:pPr>
        <w:spacing w:before="0" w:after="0"/>
        <w:ind w:left="120"/>
        <w:jc w:val="both"/>
      </w:pPr>
      <w:r>
        <w:rPr>
          <w:rFonts w:ascii="Times New Roman" w:hAnsi="Times New Roman"/>
          <w:b w:val="false"/>
          <w:i w:val="false"/>
          <w:color w:val="000000"/>
          <w:sz w:val="22"/>
        </w:rPr>
        <w:t>B. Units of radiation dose and quantity of radioactivity</w:t>
      </w:r>
    </w:p>
    <w:p>
      <w:pPr>
        <w:spacing w:before="0" w:after="0"/>
        <w:ind w:left="120"/>
        <w:jc w:val="both"/>
      </w:pPr>
      <w:r>
        <w:rPr>
          <w:rFonts w:ascii="Times New Roman" w:hAnsi="Times New Roman"/>
          <w:b w:val="false"/>
          <w:i w:val="false"/>
          <w:color w:val="000000"/>
          <w:sz w:val="22"/>
        </w:rPr>
        <w:t>C. Significance of radiation dose</w:t>
      </w:r>
    </w:p>
    <w:p>
      <w:pPr>
        <w:spacing w:before="0" w:after="0"/>
        <w:ind w:left="120"/>
        <w:jc w:val="both"/>
      </w:pPr>
      <w:r>
        <w:rPr>
          <w:rFonts w:ascii="Times New Roman" w:hAnsi="Times New Roman"/>
          <w:b w:val="false"/>
          <w:i w:val="false"/>
          <w:color w:val="000000"/>
          <w:sz w:val="22"/>
        </w:rPr>
        <w:t>1. Radiation protection standards</w:t>
      </w:r>
    </w:p>
    <w:p>
      <w:pPr>
        <w:spacing w:before="0" w:after="0"/>
        <w:ind w:left="120"/>
        <w:jc w:val="both"/>
      </w:pPr>
      <w:r>
        <w:rPr>
          <w:rFonts w:ascii="Times New Roman" w:hAnsi="Times New Roman"/>
          <w:b w:val="false"/>
          <w:i w:val="false"/>
          <w:color w:val="000000"/>
          <w:sz w:val="22"/>
        </w:rPr>
        <w:t>2. Biological effects of radiation</w:t>
      </w:r>
    </w:p>
    <w:p>
      <w:pPr>
        <w:spacing w:before="0" w:after="0"/>
        <w:ind w:left="120"/>
        <w:jc w:val="both"/>
      </w:pPr>
      <w:r>
        <w:rPr>
          <w:rFonts w:ascii="Times New Roman" w:hAnsi="Times New Roman"/>
          <w:b w:val="false"/>
          <w:i w:val="false"/>
          <w:color w:val="000000"/>
          <w:sz w:val="22"/>
        </w:rPr>
        <w:t>3. Case histories of radiography accidents</w:t>
      </w:r>
    </w:p>
    <w:p>
      <w:pPr>
        <w:spacing w:before="0" w:after="0"/>
        <w:ind w:left="120"/>
        <w:jc w:val="both"/>
      </w:pPr>
      <w:r>
        <w:rPr>
          <w:rFonts w:ascii="Times New Roman" w:hAnsi="Times New Roman"/>
          <w:b w:val="false"/>
          <w:i w:val="false"/>
          <w:color w:val="000000"/>
          <w:sz w:val="22"/>
        </w:rPr>
        <w:t>D. Levels of radiation from sources of radiation</w:t>
      </w:r>
    </w:p>
    <w:p>
      <w:pPr>
        <w:spacing w:before="0" w:after="0"/>
        <w:ind w:left="120"/>
        <w:jc w:val="both"/>
      </w:pPr>
      <w:r>
        <w:rPr>
          <w:rFonts w:ascii="Times New Roman" w:hAnsi="Times New Roman"/>
          <w:b w:val="false"/>
          <w:i w:val="false"/>
          <w:color w:val="000000"/>
          <w:sz w:val="22"/>
        </w:rPr>
        <w:t>E. Methods of controlling radiation dose</w:t>
      </w:r>
    </w:p>
    <w:p>
      <w:pPr>
        <w:spacing w:before="0" w:after="0"/>
        <w:ind w:left="120"/>
        <w:jc w:val="both"/>
      </w:pPr>
      <w:r>
        <w:rPr>
          <w:rFonts w:ascii="Times New Roman" w:hAnsi="Times New Roman"/>
          <w:b w:val="false"/>
          <w:i w:val="false"/>
          <w:color w:val="000000"/>
          <w:sz w:val="22"/>
        </w:rPr>
        <w:t>1. Working time</w:t>
      </w:r>
    </w:p>
    <w:p>
      <w:pPr>
        <w:spacing w:before="0" w:after="0"/>
        <w:ind w:left="120"/>
        <w:jc w:val="both"/>
      </w:pPr>
      <w:r>
        <w:rPr>
          <w:rFonts w:ascii="Times New Roman" w:hAnsi="Times New Roman"/>
          <w:b w:val="false"/>
          <w:i w:val="false"/>
          <w:color w:val="000000"/>
          <w:sz w:val="22"/>
        </w:rPr>
        <w:t>2. Working distances</w:t>
      </w:r>
    </w:p>
    <w:p>
      <w:pPr>
        <w:spacing w:before="0" w:after="0"/>
        <w:ind w:left="120"/>
        <w:jc w:val="both"/>
      </w:pPr>
      <w:r>
        <w:rPr>
          <w:rFonts w:ascii="Times New Roman" w:hAnsi="Times New Roman"/>
          <w:b w:val="false"/>
          <w:i w:val="false"/>
          <w:color w:val="000000"/>
          <w:sz w:val="22"/>
        </w:rPr>
        <w:t>3. Shielding</w:t>
      </w:r>
    </w:p>
    <w:p>
      <w:pPr>
        <w:spacing w:before="0" w:after="0"/>
        <w:ind w:left="120"/>
        <w:jc w:val="both"/>
      </w:pPr>
      <w:r>
        <w:rPr>
          <w:rFonts w:ascii="Times New Roman" w:hAnsi="Times New Roman"/>
          <w:b w:val="false"/>
          <w:i w:val="false"/>
          <w:color w:val="000000"/>
          <w:sz w:val="22"/>
        </w:rPr>
        <w:t>II. Radiation detection instrumentation to be used</w:t>
      </w:r>
    </w:p>
    <w:p>
      <w:pPr>
        <w:spacing w:before="0" w:after="0"/>
        <w:ind w:left="120"/>
        <w:jc w:val="both"/>
      </w:pPr>
      <w:r>
        <w:rPr>
          <w:rFonts w:ascii="Times New Roman" w:hAnsi="Times New Roman"/>
          <w:b w:val="false"/>
          <w:i w:val="false"/>
          <w:color w:val="000000"/>
          <w:sz w:val="22"/>
        </w:rPr>
        <w:t>A. Use of radiation survey instruments</w:t>
      </w:r>
    </w:p>
    <w:p>
      <w:pPr>
        <w:spacing w:before="0" w:after="0"/>
        <w:ind w:left="120"/>
        <w:jc w:val="both"/>
      </w:pPr>
      <w:r>
        <w:rPr>
          <w:rFonts w:ascii="Times New Roman" w:hAnsi="Times New Roman"/>
          <w:b w:val="false"/>
          <w:i w:val="false"/>
          <w:color w:val="000000"/>
          <w:sz w:val="22"/>
        </w:rPr>
        <w:t>1. Operation</w:t>
      </w:r>
    </w:p>
    <w:p>
      <w:pPr>
        <w:spacing w:before="0" w:after="0"/>
        <w:ind w:left="120"/>
        <w:jc w:val="both"/>
      </w:pPr>
      <w:r>
        <w:rPr>
          <w:rFonts w:ascii="Times New Roman" w:hAnsi="Times New Roman"/>
          <w:b w:val="false"/>
          <w:i w:val="false"/>
          <w:color w:val="000000"/>
          <w:sz w:val="22"/>
        </w:rPr>
        <w:t>2. Calibration</w:t>
      </w:r>
    </w:p>
    <w:p>
      <w:pPr>
        <w:spacing w:before="0" w:after="0"/>
        <w:ind w:left="120"/>
        <w:jc w:val="both"/>
      </w:pPr>
      <w:r>
        <w:rPr>
          <w:rFonts w:ascii="Times New Roman" w:hAnsi="Times New Roman"/>
          <w:b w:val="false"/>
          <w:i w:val="false"/>
          <w:color w:val="000000"/>
          <w:sz w:val="22"/>
        </w:rPr>
        <w:t>3. Limitations</w:t>
      </w:r>
    </w:p>
    <w:p>
      <w:pPr>
        <w:spacing w:before="0" w:after="0"/>
        <w:ind w:left="120"/>
        <w:jc w:val="both"/>
      </w:pPr>
      <w:r>
        <w:rPr>
          <w:rFonts w:ascii="Times New Roman" w:hAnsi="Times New Roman"/>
          <w:b w:val="false"/>
          <w:i w:val="false"/>
          <w:color w:val="000000"/>
          <w:sz w:val="22"/>
        </w:rPr>
        <w:t>B. Survey techniques</w:t>
      </w:r>
    </w:p>
    <w:p>
      <w:pPr>
        <w:spacing w:before="0" w:after="0"/>
        <w:ind w:left="120"/>
        <w:jc w:val="both"/>
      </w:pPr>
      <w:r>
        <w:rPr>
          <w:rFonts w:ascii="Times New Roman" w:hAnsi="Times New Roman"/>
          <w:b w:val="false"/>
          <w:i w:val="false"/>
          <w:color w:val="000000"/>
          <w:sz w:val="22"/>
        </w:rPr>
        <w:t>C. Use of personnel monitoring equipment</w:t>
      </w:r>
    </w:p>
    <w:p>
      <w:pPr>
        <w:spacing w:before="0" w:after="0"/>
        <w:ind w:left="120"/>
        <w:jc w:val="both"/>
      </w:pPr>
      <w:r>
        <w:rPr>
          <w:rFonts w:ascii="Times New Roman" w:hAnsi="Times New Roman"/>
          <w:b w:val="false"/>
          <w:i w:val="false"/>
          <w:color w:val="000000"/>
          <w:sz w:val="22"/>
        </w:rPr>
        <w:t>1. Film badges</w:t>
      </w:r>
    </w:p>
    <w:p>
      <w:pPr>
        <w:spacing w:before="0" w:after="0"/>
        <w:ind w:left="120"/>
        <w:jc w:val="both"/>
      </w:pPr>
      <w:r>
        <w:rPr>
          <w:rFonts w:ascii="Times New Roman" w:hAnsi="Times New Roman"/>
          <w:b w:val="false"/>
          <w:i w:val="false"/>
          <w:color w:val="000000"/>
          <w:sz w:val="22"/>
        </w:rPr>
        <w:t>2. Thermoluminescent dosimeters (TLDs)</w:t>
      </w:r>
    </w:p>
    <w:p>
      <w:pPr>
        <w:spacing w:before="0" w:after="0"/>
        <w:ind w:left="120"/>
        <w:jc w:val="both"/>
      </w:pPr>
      <w:r>
        <w:rPr>
          <w:rFonts w:ascii="Times New Roman" w:hAnsi="Times New Roman"/>
          <w:b w:val="false"/>
          <w:i w:val="false"/>
          <w:color w:val="000000"/>
          <w:sz w:val="22"/>
        </w:rPr>
        <w:t>3. Pocket dosimeters</w:t>
      </w:r>
    </w:p>
    <w:p>
      <w:pPr>
        <w:spacing w:before="0" w:after="0"/>
        <w:ind w:left="120"/>
        <w:jc w:val="both"/>
      </w:pPr>
      <w:r>
        <w:rPr>
          <w:rFonts w:ascii="Times New Roman" w:hAnsi="Times New Roman"/>
          <w:b w:val="false"/>
          <w:i w:val="false"/>
          <w:color w:val="000000"/>
          <w:sz w:val="22"/>
        </w:rPr>
        <w:t>4. OSL devices</w:t>
      </w:r>
    </w:p>
    <w:p>
      <w:pPr>
        <w:spacing w:before="0" w:after="0"/>
        <w:ind w:left="120"/>
        <w:jc w:val="both"/>
      </w:pPr>
      <w:r>
        <w:rPr>
          <w:rFonts w:ascii="Times New Roman" w:hAnsi="Times New Roman"/>
          <w:b w:val="false"/>
          <w:i w:val="false"/>
          <w:color w:val="000000"/>
          <w:sz w:val="22"/>
        </w:rPr>
        <w:t>III. The requirements of pertinent federal and state regulations</w:t>
      </w:r>
    </w:p>
    <w:p>
      <w:pPr>
        <w:spacing w:before="0" w:after="0"/>
        <w:ind w:left="120"/>
        <w:jc w:val="both"/>
      </w:pPr>
      <w:r>
        <w:rPr>
          <w:rFonts w:ascii="Times New Roman" w:hAnsi="Times New Roman"/>
          <w:b w:val="false"/>
          <w:i w:val="false"/>
          <w:color w:val="000000"/>
          <w:sz w:val="22"/>
        </w:rPr>
        <w:t>IV. The registrant’s written operating and emergency procedures</w:t>
      </w:r>
    </w:p>
    <w:p>
      <w:pPr>
        <w:spacing w:before="0" w:after="0"/>
        <w:ind w:left="120"/>
        <w:jc w:val="both"/>
      </w:pPr>
      <w:r>
        <w:rPr>
          <w:rFonts w:ascii="Times New Roman" w:hAnsi="Times New Roman"/>
          <w:b w:val="false"/>
          <w:i w:val="false"/>
          <w:color w:val="000000"/>
          <w:sz w:val="22"/>
        </w:rPr>
        <w:t>V. Radiographic equipment to be used for operation and control of X-ray equipment</w:t>
      </w:r>
    </w:p>
    <w:p>
      <w:pPr>
        <w:spacing w:before="0" w:after="0"/>
        <w:ind w:left="120"/>
        <w:jc w:val="center"/>
      </w:pPr>
      <w:r>
        <w:br w:type="page"/>
      </w:r>
      <w:r>
        <w:rPr>
          <w:rFonts w:ascii="Times New Roman" w:hAnsi="Times New Roman"/>
          <w:b w:val="false"/>
          <w:i w:val="false"/>
          <w:color w:val="000000"/>
          <w:sz w:val="22"/>
        </w:rPr>
        <w:t>CHAPTER 39—APPENDIX B</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OPERATING AND EMERGENCY PROCEDURES</w:t>
      </w:r>
    </w:p>
    <w:p>
      <w:pPr>
        <w:spacing w:before="0" w:after="0"/>
        <w:ind w:left="120"/>
        <w:jc w:val="both"/>
      </w:pPr>
      <w:r>
        <w:rPr>
          <w:rFonts w:ascii="Times New Roman" w:hAnsi="Times New Roman"/>
          <w:b w:val="false"/>
          <w:i w:val="false"/>
          <w:color w:val="000000"/>
          <w:sz w:val="22"/>
        </w:rPr>
        <w:t>The licensee’s or registrant’s operating and emergency procedures shall include instructions in at least the following:</w:t>
      </w:r>
    </w:p>
    <w:p>
      <w:pPr>
        <w:spacing w:before="0" w:after="0"/>
        <w:ind w:left="120"/>
        <w:jc w:val="both"/>
      </w:pPr>
      <w:r>
        <w:rPr>
          <w:rFonts w:ascii="Times New Roman" w:hAnsi="Times New Roman"/>
          <w:b w:val="false"/>
          <w:i w:val="false"/>
          <w:color w:val="000000"/>
          <w:sz w:val="22"/>
        </w:rPr>
        <w:t xml:space="preserve">A. Handling and use of sources of radiation for industrial radiography such that no individual is likely to be exposed to radiation doses that exceed the limits established in </w:t>
      </w:r>
      <w:hyperlink r:id="rId106">
        <w:r>
          <w:rPr>
            <w:rStyle w:val="Hyperlink"/>
            <w:rFonts w:ascii="Times New Roman" w:hAnsi="Times New Roman"/>
            <w:b w:val="false"/>
            <w:i w:val="false"/>
            <w:color w:val="000000"/>
            <w:sz w:val="22"/>
          </w:rPr>
          <w:t>641—Chapter 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B. Methods and occasions for conducting radiation surveys, including lock-out survey requirements;</w:t>
      </w:r>
    </w:p>
    <w:p>
      <w:pPr>
        <w:spacing w:before="0" w:after="0"/>
        <w:ind w:left="120"/>
        <w:jc w:val="both"/>
      </w:pPr>
      <w:r>
        <w:rPr>
          <w:rFonts w:ascii="Times New Roman" w:hAnsi="Times New Roman"/>
          <w:b w:val="false"/>
          <w:i w:val="false"/>
          <w:color w:val="000000"/>
          <w:sz w:val="22"/>
        </w:rPr>
        <w:t>C. Methods for controlling access to industrial radiography areas;</w:t>
      </w:r>
    </w:p>
    <w:p>
      <w:pPr>
        <w:spacing w:before="0" w:after="0"/>
        <w:ind w:left="120"/>
        <w:jc w:val="both"/>
      </w:pPr>
      <w:r>
        <w:rPr>
          <w:rFonts w:ascii="Times New Roman" w:hAnsi="Times New Roman"/>
          <w:b w:val="false"/>
          <w:i w:val="false"/>
          <w:color w:val="000000"/>
          <w:sz w:val="22"/>
        </w:rPr>
        <w:t>D. Methods and occasions for locking and securing sources or radiation;</w:t>
      </w:r>
    </w:p>
    <w:p>
      <w:pPr>
        <w:spacing w:before="0" w:after="0"/>
        <w:ind w:left="120"/>
        <w:jc w:val="both"/>
      </w:pPr>
      <w:r>
        <w:rPr>
          <w:rFonts w:ascii="Times New Roman" w:hAnsi="Times New Roman"/>
          <w:b w:val="false"/>
          <w:i w:val="false"/>
          <w:color w:val="000000"/>
          <w:sz w:val="22"/>
        </w:rPr>
        <w:t>E. Personnel monitoring and the use of personnel monitoring equipment, including steps to be taken immediately by industrial radiographic personnel in the event a pocket dosimeter is found to be off-scale;</w:t>
      </w:r>
    </w:p>
    <w:p>
      <w:pPr>
        <w:spacing w:before="0" w:after="0"/>
        <w:ind w:left="120"/>
        <w:jc w:val="both"/>
      </w:pPr>
      <w:r>
        <w:rPr>
          <w:rFonts w:ascii="Times New Roman" w:hAnsi="Times New Roman"/>
          <w:b w:val="false"/>
          <w:i w:val="false"/>
          <w:color w:val="000000"/>
          <w:sz w:val="22"/>
        </w:rPr>
        <w:t>F. Methods of transporting equipment to field locations, including packing of sources of radiation in the vehicles, placarding of vehicles, and controlling of sources of radiation during transportation (including applicable U.S. Department of Transportation requirements);</w:t>
      </w:r>
    </w:p>
    <w:p>
      <w:pPr>
        <w:spacing w:before="0" w:after="0"/>
        <w:ind w:left="120"/>
        <w:jc w:val="both"/>
      </w:pPr>
      <w:r>
        <w:rPr>
          <w:rFonts w:ascii="Times New Roman" w:hAnsi="Times New Roman"/>
          <w:b w:val="false"/>
          <w:i w:val="false"/>
          <w:color w:val="000000"/>
          <w:sz w:val="22"/>
        </w:rPr>
        <w:t>G. Methods or procedures for minimizing exposure of individuals in the event of an accident, including procedures for a disconnect accident, a transportation accident, and loss of a sealed source;</w:t>
      </w:r>
    </w:p>
    <w:p>
      <w:pPr>
        <w:spacing w:before="0" w:after="0"/>
        <w:ind w:left="120"/>
        <w:jc w:val="both"/>
      </w:pPr>
      <w:r>
        <w:rPr>
          <w:rFonts w:ascii="Times New Roman" w:hAnsi="Times New Roman"/>
          <w:b w:val="false"/>
          <w:i w:val="false"/>
          <w:color w:val="000000"/>
          <w:sz w:val="22"/>
        </w:rPr>
        <w:t>H. Procedures for notifying proper personnel in the event of an accident;</w:t>
      </w:r>
    </w:p>
    <w:p>
      <w:pPr>
        <w:spacing w:before="0" w:after="0"/>
        <w:ind w:left="120"/>
        <w:jc w:val="both"/>
      </w:pPr>
      <w:r>
        <w:rPr>
          <w:rFonts w:ascii="Times New Roman" w:hAnsi="Times New Roman"/>
          <w:b w:val="false"/>
          <w:i w:val="false"/>
          <w:color w:val="000000"/>
          <w:sz w:val="22"/>
        </w:rPr>
        <w:t>I. Specific posting requirements;</w:t>
      </w:r>
    </w:p>
    <w:p>
      <w:pPr>
        <w:spacing w:before="0" w:after="0"/>
        <w:ind w:left="120"/>
        <w:jc w:val="both"/>
      </w:pPr>
      <w:r>
        <w:rPr>
          <w:rFonts w:ascii="Times New Roman" w:hAnsi="Times New Roman"/>
          <w:b w:val="false"/>
          <w:i w:val="false"/>
          <w:color w:val="000000"/>
          <w:sz w:val="22"/>
        </w:rPr>
        <w:t>J. Maintenance of records (Appendix C); and</w:t>
      </w:r>
    </w:p>
    <w:p>
      <w:pPr>
        <w:spacing w:before="0" w:after="0"/>
        <w:ind w:left="120"/>
        <w:jc w:val="both"/>
      </w:pPr>
      <w:r>
        <w:rPr>
          <w:rFonts w:ascii="Times New Roman" w:hAnsi="Times New Roman"/>
          <w:b w:val="false"/>
          <w:i w:val="false"/>
          <w:color w:val="000000"/>
          <w:sz w:val="22"/>
        </w:rPr>
        <w:t>K. Inspection and maintenance of radiographic exposure devices, source changers, storage containers, transport containers, source guide tubes, crank-out devices, and radiation machines.</w:t>
      </w:r>
    </w:p>
    <w:p>
      <w:pPr>
        <w:spacing w:before="0" w:after="0"/>
        <w:ind w:left="120"/>
        <w:jc w:val="center"/>
      </w:pPr>
      <w:r>
        <w:br w:type="page"/>
      </w:r>
      <w:r>
        <w:rPr>
          <w:rFonts w:ascii="Times New Roman" w:hAnsi="Times New Roman"/>
          <w:b w:val="false"/>
          <w:i w:val="false"/>
          <w:color w:val="000000"/>
          <w:sz w:val="22"/>
        </w:rPr>
        <w:t>CHAPTER 39—APPENDIX C</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TIME REQUIREMENTS FOR RECORDKEEPING</w:t>
      </w:r>
    </w:p>
    <w:tbl>
      <w:tblPr>
        <w:tblW w:w="0" w:type="auto"/>
        <w:tblCellSpacing w:w="0" w:type="auto"/>
        <w:tblBorders>
          <w:top w:val="none"/>
          <w:left w:val="none"/>
          <w:bottom w:val="none"/>
          <w:right w:val="none"/>
          <w:insideH w:val="none"/>
          <w:insideV w:val="none"/>
        </w:tblBorders>
        <w:tblLayout w:type="fixed"/>
      </w:tblPr>
      <w:tblGrid>
        <w:gridCol w:w="2765"/>
        <w:gridCol w:w="4609"/>
        <w:gridCol w:w="230"/>
        <w:gridCol w:w="3916"/>
      </w:tblGrid>
      <w:tr>
        <w:trPr>
          <w:trHeight w:val="480" w:hRule="atLeast"/>
        </w:trPr>
        <w:tc>
          <w:tcPr>
            <w:tcW w:w="27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Specific Section</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Name of Record</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Time Interval Required for Recordkeeping</w:t>
            </w:r>
          </w:p>
        </w:tc>
      </w:tr>
      <w:tr>
        <w:trPr>
          <w:trHeight w:val="255" w:hRule="atLeast"/>
        </w:trPr>
        <w:tc>
          <w:tcPr>
            <w:tcW w:w="0" w:type="auto"/>
            <w:gridSpan w:val="4"/>
            <w:tcBorders/>
            <w:tcMar>
              <w:top w:w="30" w:type="dxa"/>
              <w:left w:w="30" w:type="dxa"/>
              <w:bottom w:w="15" w:type="dxa"/>
              <w:right w:w="30" w:type="dxa"/>
            </w:tcMar>
            <w:vAlign w:val="top"/>
          </w:tcPr>
          <w:p>
            <w:pPr>
              <w:spacing w:before="0" w:after="0"/>
              <w:ind w:left="0"/>
              <w:jc w:val="left"/>
            </w:pP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hyperlink r:id="rId107">
              <w:r>
                <w:rPr>
                  <w:rStyle w:val="Hyperlink"/>
                  <w:rFonts w:ascii="Times New Roman" w:hAnsi="Times New Roman"/>
                  <w:b w:val="false"/>
                  <w:i w:val="false"/>
                  <w:color w:val="000000"/>
                  <w:sz w:val="20"/>
                </w:rPr>
                <w:t>39.10(2)</w:t>
              </w:r>
            </w:hyperlink>
            <w:r>
              <w:rPr>
                <w:rFonts w:ascii="Times New Roman" w:hAnsi="Times New Roman"/>
                <w:b w:val="false"/>
                <w:i/>
                <w:color w:val="000000"/>
                <w:sz w:val="20"/>
              </w:rPr>
              <w:t>“b”</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Receipt, transfer and disposal.</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hyperlink r:id="rId108">
              <w:r>
                <w:rPr>
                  <w:rStyle w:val="Hyperlink"/>
                  <w:rFonts w:ascii="Times New Roman" w:hAnsi="Times New Roman"/>
                  <w:b w:val="false"/>
                  <w:i w:val="false"/>
                  <w:color w:val="000000"/>
                  <w:sz w:val="20"/>
                </w:rPr>
                <w:t>39.10(2)</w:t>
              </w:r>
            </w:hyperlink>
            <w:r>
              <w:rPr>
                <w:rFonts w:ascii="Times New Roman" w:hAnsi="Times New Roman"/>
                <w:b w:val="false"/>
                <w:i/>
                <w:color w:val="000000"/>
                <w:sz w:val="20"/>
              </w:rPr>
              <w:t>“c”</w:t>
            </w:r>
            <w:r>
              <w:rPr>
                <w:rFonts w:ascii="Times New Roman" w:hAnsi="Times New Roman"/>
                <w:b w:val="false"/>
                <w:i w:val="false"/>
                <w:color w:val="000000"/>
                <w:sz w:val="20"/>
              </w:rPr>
              <w:t>(2)</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Survey instrument calibrations.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hyperlink r:id="rId109">
              <w:r>
                <w:rPr>
                  <w:rStyle w:val="Hyperlink"/>
                  <w:rFonts w:ascii="Times New Roman" w:hAnsi="Times New Roman"/>
                  <w:b w:val="false"/>
                  <w:i w:val="false"/>
                  <w:color w:val="000000"/>
                  <w:sz w:val="20"/>
                </w:rPr>
                <w:t>39.10(2)</w:t>
              </w:r>
            </w:hyperlink>
            <w:r>
              <w:rPr>
                <w:rFonts w:ascii="Times New Roman" w:hAnsi="Times New Roman"/>
                <w:b w:val="false"/>
                <w:i/>
                <w:color w:val="000000"/>
                <w:sz w:val="20"/>
              </w:rPr>
              <w:t>“g”</w:t>
            </w:r>
            <w:r>
              <w:rPr>
                <w:rFonts w:ascii="Times New Roman" w:hAnsi="Times New Roman"/>
                <w:b w:val="false"/>
                <w:i w:val="false"/>
                <w:color w:val="000000"/>
                <w:sz w:val="20"/>
              </w:rPr>
              <w:t>(4)“3”(K)</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Quarterly inventory.</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hyperlink r:id="rId110">
              <w:r>
                <w:rPr>
                  <w:rStyle w:val="Hyperlink"/>
                  <w:rFonts w:ascii="Times New Roman" w:hAnsi="Times New Roman"/>
                  <w:b w:val="false"/>
                  <w:i w:val="false"/>
                  <w:color w:val="000000"/>
                  <w:sz w:val="20"/>
                </w:rPr>
                <w:t>39.10(2)</w:t>
              </w:r>
            </w:hyperlink>
            <w:r>
              <w:rPr>
                <w:rFonts w:ascii="Times New Roman" w:hAnsi="Times New Roman"/>
                <w:b w:val="false"/>
                <w:i/>
                <w:color w:val="000000"/>
                <w:sz w:val="20"/>
              </w:rPr>
              <w:t>“d”</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Utilization logs.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480" w:hRule="atLeast"/>
        </w:trPr>
        <w:tc>
          <w:tcPr>
            <w:tcW w:w="2765" w:type="dxa"/>
            <w:tcBorders/>
            <w:tcMar>
              <w:top w:w="30" w:type="dxa"/>
              <w:left w:w="30" w:type="dxa"/>
              <w:bottom w:w="15" w:type="dxa"/>
              <w:right w:w="30" w:type="dxa"/>
            </w:tcMar>
            <w:vAlign w:val="top"/>
          </w:tcPr>
          <w:p>
            <w:pPr>
              <w:spacing w:before="0" w:after="0"/>
              <w:ind w:left="0"/>
              <w:jc w:val="left"/>
            </w:pPr>
            <w:hyperlink r:id="rId111">
              <w:r>
                <w:rPr>
                  <w:rStyle w:val="Hyperlink"/>
                  <w:rFonts w:ascii="Times New Roman" w:hAnsi="Times New Roman"/>
                  <w:b w:val="false"/>
                  <w:i w:val="false"/>
                  <w:color w:val="000000"/>
                  <w:sz w:val="20"/>
                </w:rPr>
                <w:t>39.10(2)</w:t>
              </w:r>
            </w:hyperlink>
            <w:r>
              <w:rPr>
                <w:rFonts w:ascii="Times New Roman" w:hAnsi="Times New Roman"/>
                <w:b w:val="false"/>
                <w:i/>
                <w:color w:val="000000"/>
                <w:sz w:val="20"/>
              </w:rPr>
              <w:t>“e”</w:t>
            </w:r>
          </w:p>
        </w:tc>
        <w:tc>
          <w:tcPr>
            <w:tcW w:w="460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Quarterly inspection and</w:t>
            </w:r>
          </w:p>
          <w:p>
            <w:pPr>
              <w:spacing w:before="0" w:after="0"/>
              <w:ind w:left="160"/>
              <w:jc w:val="left"/>
            </w:pPr>
            <w:r>
              <w:rPr>
                <w:rFonts w:ascii="Times New Roman" w:hAnsi="Times New Roman"/>
                <w:b w:val="false"/>
                <w:i w:val="false"/>
                <w:color w:val="000000"/>
                <w:sz w:val="20"/>
              </w:rPr>
              <w:t>maintenance.</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480" w:hRule="atLeast"/>
        </w:trPr>
        <w:tc>
          <w:tcPr>
            <w:tcW w:w="2765" w:type="dxa"/>
            <w:tcBorders/>
            <w:tcMar>
              <w:top w:w="30" w:type="dxa"/>
              <w:left w:w="30" w:type="dxa"/>
              <w:bottom w:w="15" w:type="dxa"/>
              <w:right w:w="30" w:type="dxa"/>
            </w:tcMar>
            <w:vAlign w:val="top"/>
          </w:tcPr>
          <w:p>
            <w:pPr>
              <w:spacing w:before="0" w:after="0"/>
              <w:ind w:left="0"/>
              <w:jc w:val="left"/>
            </w:pPr>
            <w:hyperlink r:id="rId112">
              <w:r>
                <w:rPr>
                  <w:rStyle w:val="Hyperlink"/>
                  <w:rFonts w:ascii="Times New Roman" w:hAnsi="Times New Roman"/>
                  <w:b w:val="false"/>
                  <w:i w:val="false"/>
                  <w:color w:val="000000"/>
                  <w:sz w:val="20"/>
                </w:rPr>
                <w:t>39.10(2)</w:t>
              </w:r>
            </w:hyperlink>
            <w:r>
              <w:rPr>
                <w:rFonts w:ascii="Times New Roman" w:hAnsi="Times New Roman"/>
                <w:b w:val="false"/>
                <w:i/>
                <w:color w:val="000000"/>
                <w:sz w:val="20"/>
              </w:rPr>
              <w:t>“j”</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High radiation area control devices or alarm systems.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Until disposal is authorized by the department.</w:t>
            </w: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hyperlink r:id="rId113">
              <w:r>
                <w:rPr>
                  <w:rStyle w:val="Hyperlink"/>
                  <w:rFonts w:ascii="Times New Roman" w:hAnsi="Times New Roman"/>
                  <w:b w:val="false"/>
                  <w:i w:val="false"/>
                  <w:color w:val="000000"/>
                  <w:sz w:val="20"/>
                </w:rPr>
                <w:t>39.10(2)</w:t>
              </w:r>
            </w:hyperlink>
            <w:r>
              <w:rPr>
                <w:rFonts w:ascii="Times New Roman" w:hAnsi="Times New Roman"/>
                <w:b w:val="false"/>
                <w:i/>
                <w:color w:val="000000"/>
                <w:sz w:val="20"/>
              </w:rPr>
              <w:t>“g”</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Training and testing records.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hyperlink r:id="rId114">
              <w:r>
                <w:rPr>
                  <w:rStyle w:val="Hyperlink"/>
                  <w:rFonts w:ascii="Times New Roman" w:hAnsi="Times New Roman"/>
                  <w:b w:val="false"/>
                  <w:i w:val="false"/>
                  <w:color w:val="000000"/>
                  <w:sz w:val="20"/>
                </w:rPr>
                <w:t>39.10(2)</w:t>
              </w:r>
            </w:hyperlink>
            <w:r>
              <w:rPr>
                <w:rFonts w:ascii="Times New Roman" w:hAnsi="Times New Roman"/>
                <w:b w:val="false"/>
                <w:i/>
                <w:color w:val="000000"/>
                <w:sz w:val="20"/>
              </w:rPr>
              <w:t>“i”</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Pocket dosimeter readings.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Pocket dosimeter calibrations.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480" w:hRule="atLeast"/>
        </w:trPr>
        <w:tc>
          <w:tcPr>
            <w:tcW w:w="27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Film badge, OSL device, or TLD reports.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Until the agency terminates the license.</w:t>
            </w: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Alarming ratemeter calibrations.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Alarming ratemeter functions.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480" w:hRule="atLeast"/>
        </w:trPr>
        <w:tc>
          <w:tcPr>
            <w:tcW w:w="27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Estimates of overexposures.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Until the agency terminates the license.</w:t>
            </w:r>
          </w:p>
        </w:tc>
      </w:tr>
      <w:tr>
        <w:trPr>
          <w:trHeight w:val="480" w:hRule="atLeast"/>
        </w:trPr>
        <w:tc>
          <w:tcPr>
            <w:tcW w:w="2765" w:type="dxa"/>
            <w:tcBorders/>
            <w:tcMar>
              <w:top w:w="30" w:type="dxa"/>
              <w:left w:w="30" w:type="dxa"/>
              <w:bottom w:w="15" w:type="dxa"/>
              <w:right w:w="30" w:type="dxa"/>
            </w:tcMar>
            <w:vAlign w:val="top"/>
          </w:tcPr>
          <w:p>
            <w:pPr>
              <w:spacing w:before="0" w:after="0"/>
              <w:ind w:left="0"/>
              <w:jc w:val="left"/>
            </w:pPr>
            <w:hyperlink r:id="rId115">
              <w:r>
                <w:rPr>
                  <w:rStyle w:val="Hyperlink"/>
                  <w:rFonts w:ascii="Times New Roman" w:hAnsi="Times New Roman"/>
                  <w:b w:val="false"/>
                  <w:i w:val="false"/>
                  <w:color w:val="000000"/>
                  <w:sz w:val="20"/>
                </w:rPr>
                <w:t>39.10(2)</w:t>
              </w:r>
            </w:hyperlink>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Current operating and emergency procedures.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Until the license is terminated.</w:t>
            </w: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Superseded material.</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 after change.</w:t>
            </w: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hyperlink r:id="rId116">
              <w:r>
                <w:rPr>
                  <w:rStyle w:val="Hyperlink"/>
                  <w:rFonts w:ascii="Times New Roman" w:hAnsi="Times New Roman"/>
                  <w:b w:val="false"/>
                  <w:i w:val="false"/>
                  <w:color w:val="000000"/>
                  <w:sz w:val="20"/>
                </w:rPr>
                <w:t>39.10(2)</w:t>
              </w:r>
            </w:hyperlink>
            <w:r>
              <w:rPr>
                <w:rFonts w:ascii="Times New Roman" w:hAnsi="Times New Roman"/>
                <w:b w:val="false"/>
                <w:i/>
                <w:color w:val="000000"/>
                <w:sz w:val="20"/>
              </w:rPr>
              <w:t>“h”</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Internal audit program.</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255" w:hRule="atLeast"/>
        </w:trPr>
        <w:tc>
          <w:tcPr>
            <w:tcW w:w="2765" w:type="dxa"/>
            <w:tcBorders/>
            <w:tcMar>
              <w:top w:w="30" w:type="dxa"/>
              <w:left w:w="30" w:type="dxa"/>
              <w:bottom w:w="15" w:type="dxa"/>
              <w:right w:w="30" w:type="dxa"/>
            </w:tcMar>
            <w:vAlign w:val="top"/>
          </w:tcPr>
          <w:p>
            <w:pPr>
              <w:spacing w:before="0" w:after="0"/>
              <w:ind w:left="0"/>
              <w:jc w:val="left"/>
            </w:pPr>
            <w:hyperlink r:id="rId117">
              <w:r>
                <w:rPr>
                  <w:rStyle w:val="Hyperlink"/>
                  <w:rFonts w:ascii="Times New Roman" w:hAnsi="Times New Roman"/>
                  <w:b w:val="false"/>
                  <w:i w:val="false"/>
                  <w:color w:val="000000"/>
                  <w:sz w:val="20"/>
                </w:rPr>
                <w:t>39.10(2)</w:t>
              </w:r>
            </w:hyperlink>
            <w:r>
              <w:rPr>
                <w:rFonts w:ascii="Times New Roman" w:hAnsi="Times New Roman"/>
                <w:b w:val="false"/>
                <w:i/>
                <w:color w:val="000000"/>
                <w:sz w:val="20"/>
              </w:rPr>
              <w:t>“h”</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Radiographer audits.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w:t>
            </w:r>
          </w:p>
        </w:tc>
      </w:tr>
      <w:tr>
        <w:trPr>
          <w:trHeight w:val="930" w:hRule="atLeast"/>
        </w:trPr>
        <w:tc>
          <w:tcPr>
            <w:tcW w:w="2765" w:type="dxa"/>
            <w:tcBorders/>
            <w:tcMar>
              <w:top w:w="30" w:type="dxa"/>
              <w:left w:w="30" w:type="dxa"/>
              <w:bottom w:w="15" w:type="dxa"/>
              <w:right w:w="30" w:type="dxa"/>
            </w:tcMar>
            <w:vAlign w:val="top"/>
          </w:tcPr>
          <w:p>
            <w:pPr>
              <w:spacing w:before="0" w:after="0"/>
              <w:ind w:left="0"/>
              <w:jc w:val="left"/>
            </w:pPr>
            <w:hyperlink r:id="rId118">
              <w:r>
                <w:rPr>
                  <w:rStyle w:val="Hyperlink"/>
                  <w:rFonts w:ascii="Times New Roman" w:hAnsi="Times New Roman"/>
                  <w:b w:val="false"/>
                  <w:i w:val="false"/>
                  <w:color w:val="000000"/>
                  <w:sz w:val="20"/>
                </w:rPr>
                <w:t>39.10(3)</w:t>
              </w:r>
            </w:hyperlink>
            <w:r>
              <w:rPr>
                <w:rFonts w:ascii="Times New Roman" w:hAnsi="Times New Roman"/>
                <w:b w:val="false"/>
                <w:i/>
                <w:color w:val="000000"/>
                <w:sz w:val="20"/>
              </w:rPr>
              <w:t>“e”</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Radiation surveys.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 years or until disposal is authorized by the agency if a survey was used to determine an individual’s exposure.</w:t>
            </w:r>
          </w:p>
        </w:tc>
      </w:tr>
      <w:tr>
        <w:trPr>
          <w:trHeight w:val="480" w:hRule="atLeast"/>
        </w:trPr>
        <w:tc>
          <w:tcPr>
            <w:tcW w:w="2765" w:type="dxa"/>
            <w:tcBorders/>
            <w:tcMar>
              <w:top w:w="30" w:type="dxa"/>
              <w:left w:w="30" w:type="dxa"/>
              <w:bottom w:w="15" w:type="dxa"/>
              <w:right w:w="30" w:type="dxa"/>
            </w:tcMar>
            <w:vAlign w:val="top"/>
          </w:tcPr>
          <w:p>
            <w:pPr>
              <w:spacing w:before="0" w:after="0"/>
              <w:ind w:left="0"/>
              <w:jc w:val="left"/>
            </w:pPr>
            <w:hyperlink r:id="rId119">
              <w:r>
                <w:rPr>
                  <w:rStyle w:val="Hyperlink"/>
                  <w:rFonts w:ascii="Times New Roman" w:hAnsi="Times New Roman"/>
                  <w:b w:val="false"/>
                  <w:i w:val="false"/>
                  <w:color w:val="000000"/>
                  <w:sz w:val="20"/>
                </w:rPr>
                <w:t>39.10(2)</w:t>
              </w:r>
            </w:hyperlink>
            <w:r>
              <w:rPr>
                <w:rFonts w:ascii="Times New Roman" w:hAnsi="Times New Roman"/>
                <w:b w:val="false"/>
                <w:i/>
                <w:color w:val="000000"/>
                <w:sz w:val="20"/>
              </w:rPr>
              <w:t>“l”</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Records at temporary job sites.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During temporary job site operations.</w:t>
            </w:r>
          </w:p>
        </w:tc>
      </w:tr>
      <w:tr>
        <w:trPr>
          <w:trHeight w:val="480" w:hRule="atLeast"/>
        </w:trPr>
        <w:tc>
          <w:tcPr>
            <w:tcW w:w="2765" w:type="dxa"/>
            <w:tcBorders/>
            <w:tcMar>
              <w:top w:w="30" w:type="dxa"/>
              <w:left w:w="30" w:type="dxa"/>
              <w:bottom w:w="15" w:type="dxa"/>
              <w:right w:w="30" w:type="dxa"/>
            </w:tcMar>
            <w:vAlign w:val="top"/>
          </w:tcPr>
          <w:p>
            <w:pPr>
              <w:spacing w:before="0" w:after="0"/>
              <w:ind w:left="0"/>
              <w:jc w:val="left"/>
            </w:pPr>
            <w:hyperlink r:id="rId120">
              <w:r>
                <w:rPr>
                  <w:rStyle w:val="Hyperlink"/>
                  <w:rFonts w:ascii="Times New Roman" w:hAnsi="Times New Roman"/>
                  <w:b w:val="false"/>
                  <w:i w:val="false"/>
                  <w:color w:val="000000"/>
                  <w:sz w:val="20"/>
                </w:rPr>
                <w:t>39.10(3)</w:t>
              </w:r>
            </w:hyperlink>
            <w:r>
              <w:rPr>
                <w:rFonts w:ascii="Times New Roman" w:hAnsi="Times New Roman"/>
                <w:b w:val="false"/>
                <w:i/>
                <w:color w:val="000000"/>
                <w:sz w:val="20"/>
              </w:rPr>
              <w:t>“f”</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Annual evaluation of enclosed X-ray systems.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 years.</w:t>
            </w:r>
          </w:p>
        </w:tc>
      </w:tr>
      <w:tr>
        <w:trPr>
          <w:trHeight w:val="480" w:hRule="atLeast"/>
        </w:trPr>
        <w:tc>
          <w:tcPr>
            <w:tcW w:w="27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 CFR 34.67</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Leak tests.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 years or until the source in storage is removed.</w:t>
            </w:r>
          </w:p>
        </w:tc>
      </w:tr>
      <w:tr>
        <w:trPr>
          <w:trHeight w:val="480" w:hRule="atLeast"/>
        </w:trPr>
        <w:tc>
          <w:tcPr>
            <w:tcW w:w="2765" w:type="dxa"/>
            <w:tcBorders/>
            <w:tcMar>
              <w:top w:w="30" w:type="dxa"/>
              <w:left w:w="30" w:type="dxa"/>
              <w:bottom w:w="15" w:type="dxa"/>
              <w:right w:w="30" w:type="dxa"/>
            </w:tcMar>
            <w:vAlign w:val="top"/>
          </w:tcPr>
          <w:p>
            <w:pPr>
              <w:spacing w:before="0" w:after="0"/>
              <w:ind w:left="0"/>
              <w:jc w:val="left"/>
            </w:pPr>
            <w:hyperlink r:id="rId121">
              <w:r>
                <w:rPr>
                  <w:rStyle w:val="Hyperlink"/>
                  <w:rFonts w:ascii="Times New Roman" w:hAnsi="Times New Roman"/>
                  <w:b w:val="false"/>
                  <w:i w:val="false"/>
                  <w:color w:val="000000"/>
                  <w:sz w:val="20"/>
                </w:rPr>
                <w:t>39.10(3)</w:t>
              </w:r>
            </w:hyperlink>
            <w:r>
              <w:rPr>
                <w:rFonts w:ascii="Times New Roman" w:hAnsi="Times New Roman"/>
                <w:b w:val="false"/>
                <w:i/>
                <w:color w:val="000000"/>
                <w:sz w:val="20"/>
              </w:rPr>
              <w:t>“f”</w:t>
            </w:r>
          </w:p>
        </w:tc>
        <w:tc>
          <w:tcPr>
            <w:tcW w:w="46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Evaluation of certified cabinet X-ray systems.</w:t>
            </w:r>
          </w:p>
        </w:tc>
        <w:tc>
          <w:tcPr>
            <w:tcW w:w="2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9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 years.</w:t>
            </w:r>
          </w:p>
        </w:tc>
      </w:tr>
    </w:tbl>
    <w:p>
      <w:pPr>
        <w:spacing w:before="0" w:after="0"/>
        <w:ind w:left="120"/>
        <w:jc w:val="center"/>
      </w:pPr>
      <w:r>
        <w:br w:type="page"/>
      </w:r>
      <w:r>
        <w:rPr>
          <w:rFonts w:ascii="Times New Roman" w:hAnsi="Times New Roman"/>
          <w:b w:val="false"/>
          <w:i w:val="false"/>
          <w:color w:val="000000"/>
          <w:sz w:val="22"/>
        </w:rPr>
        <w:t>CHAPTER 39—APPENDIX D</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EXEMPT CONCENTRATIONS</w:t>
      </w:r>
    </w:p>
    <w:tbl>
      <w:tblPr>
        <w:tblW w:w="0" w:type="auto"/>
        <w:tblCellSpacing w:w="0" w:type="auto"/>
        <w:tblBorders>
          <w:top w:val="single" w:color="000000" w:sz="8"/>
          <w:left w:val="none"/>
          <w:bottom w:val="none"/>
          <w:right w:val="none"/>
          <w:insideH w:val="none"/>
          <w:insideV w:val="none"/>
        </w:tblBorders>
        <w:tblLayout w:type="fixed"/>
      </w:tblPr>
      <w:tblGrid>
        <w:gridCol w:w="4118"/>
        <w:gridCol w:w="2357"/>
        <w:gridCol w:w="2357"/>
        <w:gridCol w:w="2357"/>
      </w:tblGrid>
      <w:tr>
        <w:trPr>
          <w:trHeight w:val="1110" w:hRule="atLeast"/>
        </w:trPr>
        <w:tc>
          <w:tcPr>
            <w:tcW w:w="4118"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Element (atomic number)</w:t>
            </w:r>
          </w:p>
        </w:tc>
        <w:tc>
          <w:tcPr>
            <w:tcW w:w="2357" w:type="dxa"/>
            <w:tcBorders>
              <w:bottom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Radionuclide</w:t>
            </w:r>
          </w:p>
        </w:tc>
        <w:tc>
          <w:tcPr>
            <w:tcW w:w="235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Column</w:t>
            </w:r>
            <w:r>
              <w:br/>
            </w:r>
            <w:r>
              <w:rPr>
                <w:rFonts w:ascii="Times New Roman" w:hAnsi="Times New Roman"/>
                <w:b w:val="false"/>
                <w:i w:val="false"/>
                <w:color w:val="000000"/>
                <w:sz w:val="19"/>
              </w:rPr>
              <w:t>I</w:t>
            </w:r>
            <w:r>
              <w:br/>
            </w:r>
            <w:r>
              <w:rPr>
                <w:rFonts w:ascii="Times New Roman" w:hAnsi="Times New Roman"/>
                <w:b w:val="false"/>
                <w:i w:val="false"/>
                <w:color w:val="000000"/>
                <w:sz w:val="19"/>
              </w:rPr>
              <w:t>Gas concentration</w:t>
            </w:r>
            <w:r>
              <w:br/>
            </w:r>
            <w:r>
              <w:rPr>
                <w:rFonts w:ascii="Times New Roman" w:hAnsi="Times New Roman"/>
                <w:b w:val="false"/>
                <w:i w:val="false"/>
                <w:color w:val="000000"/>
                <w:sz w:val="19"/>
              </w:rPr>
              <w:t xml:space="preserve">μCi/ml </w:t>
            </w:r>
            <w:r>
              <w:rPr>
                <w:rFonts w:ascii="Times New Roman" w:hAnsi="Times New Roman"/>
                <w:b w:val="false"/>
                <w:i w:val="false"/>
                <w:color w:val="000000"/>
                <w:sz w:val="19"/>
                <w:u w:val="single"/>
              </w:rPr>
              <w:t>1</w:t>
            </w:r>
            <w:r>
              <w:rPr>
                <w:rFonts w:ascii="Times New Roman" w:hAnsi="Times New Roman"/>
                <w:b w:val="false"/>
                <w:i w:val="false"/>
                <w:color w:val="000000"/>
                <w:sz w:val="19"/>
              </w:rPr>
              <w:t>/</w:t>
            </w:r>
          </w:p>
        </w:tc>
        <w:tc>
          <w:tcPr>
            <w:tcW w:w="2357"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9"/>
              </w:rPr>
              <w:t>Column</w:t>
            </w:r>
            <w:r>
              <w:br/>
            </w:r>
            <w:r>
              <w:rPr>
                <w:rFonts w:ascii="Times New Roman" w:hAnsi="Times New Roman"/>
                <w:b w:val="false"/>
                <w:i w:val="false"/>
                <w:color w:val="000000"/>
                <w:sz w:val="19"/>
              </w:rPr>
              <w:t>II</w:t>
            </w:r>
            <w:r>
              <w:br/>
            </w:r>
            <w:r>
              <w:rPr>
                <w:rFonts w:ascii="Times New Roman" w:hAnsi="Times New Roman"/>
                <w:b w:val="false"/>
                <w:i w:val="false"/>
                <w:color w:val="000000"/>
                <w:sz w:val="19"/>
              </w:rPr>
              <w:t>Liquid and solid concentration</w:t>
            </w:r>
            <w:r>
              <w:br/>
            </w:r>
            <w:r>
              <w:rPr>
                <w:rFonts w:ascii="Times New Roman" w:hAnsi="Times New Roman"/>
                <w:b w:val="false"/>
                <w:i w:val="false"/>
                <w:color w:val="000000"/>
                <w:sz w:val="19"/>
              </w:rPr>
              <w:t xml:space="preserve">μCi/ml </w:t>
            </w:r>
            <w:r>
              <w:rPr>
                <w:rFonts w:ascii="Times New Roman" w:hAnsi="Times New Roman"/>
                <w:b w:val="false"/>
                <w:i w:val="false"/>
                <w:color w:val="000000"/>
                <w:sz w:val="19"/>
                <w:u w:val="single"/>
              </w:rPr>
              <w:t>2</w:t>
            </w:r>
            <w:r>
              <w:rPr>
                <w:rFonts w:ascii="Times New Roman" w:hAnsi="Times New Roman"/>
                <w:b w:val="false"/>
                <w:i w:val="false"/>
                <w:color w:val="000000"/>
                <w:sz w:val="19"/>
              </w:rPr>
              <w:t>/</w:t>
            </w:r>
          </w:p>
        </w:tc>
      </w:tr>
      <w:tr>
        <w:trPr>
          <w:trHeight w:val="300"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Antimony (51)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Sb-122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Sb-124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Sb-125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Argon (18)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Ar-37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Ar-41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Arsenic (33)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As-73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As-74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As-76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As-77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8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Barium (56)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Ba-131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Ba-140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Beryllium (4)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Be-7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-2</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Bismuth (83)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Bi-206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Bromine (35)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Br-82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Cadmium (48)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Cd-109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Cd-115m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Cd-115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Calcium (20)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Ca-45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-5</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Ca-47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Carbon (6)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C-14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8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Cerium (58)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Ce-141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Ce-143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Ce-144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Cesium (55)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Cs-131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-2</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Cs-134m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-2</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Cs-134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-5</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Chlorine (17)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Cl-38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Chromium (24)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Cr-51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-2</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Cobalt (27)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Co-57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Co-58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Co-60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Copper (29)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Cu-64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Dysprosium (66)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Dy-165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Dy-166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Erbium (68)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Er-169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Er-171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450"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Europium (63)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Eu-152(9.2 h)</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Eu-155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Fluorine (9)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F-18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8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Gadolinium (64)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Gd-153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Gd-159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8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Gallium (31)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Ga-72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Germanium (32)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Ge-71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-2</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Gold (79)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Au-196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Au-198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Au-199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Hafnium (72)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Hf-181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7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Hydrogen (1)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 10</w:t>
            </w:r>
            <w:r>
              <w:rPr>
                <w:rFonts w:ascii="Times New Roman" w:hAnsi="Times New Roman"/>
                <w:b w:val="false"/>
                <w:i w:val="false"/>
                <w:color w:val="000000"/>
                <w:sz w:val="18"/>
                <w:vertAlign w:val="superscript"/>
              </w:rPr>
              <w:t>-6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-2</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Indium (49)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In-113m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-2</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In-114m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Iodine (53)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I-126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-5</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I-131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-5</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I-132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8 × 10</w:t>
            </w:r>
            <w:r>
              <w:rPr>
                <w:rFonts w:ascii="Times New Roman" w:hAnsi="Times New Roman"/>
                <w:b w:val="false"/>
                <w:i w:val="false"/>
                <w:color w:val="000000"/>
                <w:sz w:val="18"/>
                <w:vertAlign w:val="superscript"/>
              </w:rPr>
              <w:t>-8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I-133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7 × 10</w:t>
            </w:r>
            <w:r>
              <w:rPr>
                <w:rFonts w:ascii="Times New Roman" w:hAnsi="Times New Roman"/>
                <w:b w:val="false"/>
                <w:i w:val="false"/>
                <w:color w:val="000000"/>
                <w:sz w:val="18"/>
                <w:vertAlign w:val="superscript"/>
              </w:rPr>
              <w:t>-5</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I-134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Iridium (77)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Ir-190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Ir-192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Ir-194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Iron (26)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Fe-55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8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Fe-59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Krypton (36)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Kr-85m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Kr-85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Lanthanum (57)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La-140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Lead (82)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Pb-203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Lutetium (71)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Lu-177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Manganese (25)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Mn-52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Mn-54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Mn-56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Mercury (80)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Hg-197m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Hg-197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Hg-203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Molybdenum (42)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Mo-99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Neodymium (60)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Nd-147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Nd-149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Nickel (28)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Ni-65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Niobium (Columbium) (41)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Nb-95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Nb-97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Osmium (76)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Os-185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7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Os-191m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-2</w:t>
            </w:r>
          </w:p>
        </w:tc>
      </w:tr>
      <w:tr>
        <w:trPr>
          <w:trHeight w:val="360"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Os-191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Os-193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Palladium (46)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Pd-103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Pd-109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Phosphorus (15)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P-32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Platinum (78)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Pt-191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Pt-193m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-2</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Pt-197m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-2</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Pt-197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Potassium (19)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K-42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Praseodymium (59)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Pr-142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Pr-143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Promethium (61)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Pm-147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Pm-149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Rhenium (75)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Re-183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Re-186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Re-188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Rhodium (45)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Rh-103m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-1</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Rh-105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Rubidium (37)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Rb-86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7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Ruthenium (44)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Ru-97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Ru-103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8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Ru-105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Ru-106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Samarium (62)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Sm-153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8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Scandium (21)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Sc-46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Sc-47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Sc-48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Selenium (34)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Se-75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Silicon (14)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Si-31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Silver (47)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Ag-105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Ag-110m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Ag-111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Sodium (11)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Na-24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Strontium (38)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Sr-85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Sr-89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Sr-91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7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Sr-92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7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Sulfur (16)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S-35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Tantalum (73)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Ta-182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Technetium (43)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Tc-96m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-1</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Tc-96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Tellurium (52)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Te-125m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-3</w:t>
            </w:r>
          </w:p>
        </w:tc>
      </w:tr>
      <w:tr>
        <w:trPr>
          <w:trHeight w:val="360"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Te-127m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Te-127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Te-129m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Te-131m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Te-132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Terbium (65)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Tb-160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Thallium (81)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Tl-200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Tl-201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Tl-202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Tl-204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Thulium (69)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Tm-170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Tm-171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5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Tin (50)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Sn-113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9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Sn-125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-4</w:t>
            </w:r>
          </w:p>
        </w:tc>
      </w:tr>
      <w:tr>
        <w:trPr>
          <w:trHeight w:val="40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Tungsten (Wolfram) (74)</w:t>
            </w:r>
          </w:p>
        </w:tc>
        <w:tc>
          <w:tcPr>
            <w:tcW w:w="23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 </w:t>
            </w:r>
          </w:p>
          <w:p>
            <w:pPr>
              <w:spacing w:before="0" w:after="0"/>
              <w:ind w:left="160"/>
              <w:jc w:val="left"/>
            </w:pPr>
            <w:r>
              <w:rPr>
                <w:rFonts w:ascii="Times New Roman" w:hAnsi="Times New Roman"/>
                <w:b w:val="false"/>
                <w:i w:val="false"/>
                <w:color w:val="000000"/>
                <w:sz w:val="19"/>
              </w:rPr>
              <w:t>W-181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9"/>
              </w:rPr>
              <w:t> </w:t>
            </w:r>
          </w:p>
          <w:p>
            <w:pPr>
              <w:spacing w:before="0" w:after="0"/>
              <w:ind w:left="16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W-187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7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Vanadium (23)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V-48</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Xenon (54)</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Xe-131m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4 × 10</w:t>
            </w:r>
            <w:r>
              <w:rPr>
                <w:rFonts w:ascii="Times New Roman" w:hAnsi="Times New Roman"/>
                <w:b w:val="false"/>
                <w:i w:val="false"/>
                <w:color w:val="000000"/>
                <w:sz w:val="18"/>
                <w:vertAlign w:val="superscript"/>
              </w:rPr>
              <w:t>-6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Xe-133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Xe-135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-6</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Ytterbium (70)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Yb-175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Yttrium (39)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Y-90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Y-91m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-2</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Y-91</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Y-92</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Y-93</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3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Zinc (30)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Zn-65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-3</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Zn-69m</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7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Zn-69</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-2</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Zirconium (40)</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Zr-95</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6 × 10</w:t>
            </w:r>
            <w:r>
              <w:rPr>
                <w:rFonts w:ascii="Times New Roman" w:hAnsi="Times New Roman"/>
                <w:b w:val="false"/>
                <w:i w:val="false"/>
                <w:color w:val="000000"/>
                <w:sz w:val="18"/>
                <w:vertAlign w:val="superscript"/>
              </w:rPr>
              <w:t>-4</w:t>
            </w:r>
          </w:p>
        </w:tc>
      </w:tr>
      <w:tr>
        <w:trPr>
          <w:trHeight w:val="28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Zr-97</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2 × 10</w:t>
            </w:r>
            <w:r>
              <w:rPr>
                <w:rFonts w:ascii="Times New Roman" w:hAnsi="Times New Roman"/>
                <w:b w:val="false"/>
                <w:i w:val="false"/>
                <w:color w:val="000000"/>
                <w:sz w:val="18"/>
                <w:vertAlign w:val="superscript"/>
              </w:rPr>
              <w:t>-4</w:t>
            </w:r>
          </w:p>
        </w:tc>
      </w:tr>
      <w:tr>
        <w:trPr>
          <w:trHeight w:val="885" w:hRule="atLeast"/>
        </w:trPr>
        <w:tc>
          <w:tcPr>
            <w:tcW w:w="411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xml:space="preserve">Beta- and/or gamma-emitting radioactive material not listed above with half-life of less </w:t>
            </w:r>
            <w:r>
              <w:br/>
            </w:r>
            <w:r>
              <w:rPr>
                <w:rFonts w:ascii="Times New Roman" w:hAnsi="Times New Roman"/>
                <w:b w:val="false"/>
                <w:i w:val="false"/>
                <w:color w:val="000000"/>
                <w:sz w:val="19"/>
              </w:rPr>
              <w:t>than 3 years.</w:t>
            </w:r>
          </w:p>
        </w:tc>
        <w:tc>
          <w:tcPr>
            <w:tcW w:w="235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-10</w:t>
            </w:r>
          </w:p>
        </w:tc>
        <w:tc>
          <w:tcPr>
            <w:tcW w:w="235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1 × 10</w:t>
            </w:r>
            <w:r>
              <w:rPr>
                <w:rFonts w:ascii="Times New Roman" w:hAnsi="Times New Roman"/>
                <w:b w:val="false"/>
                <w:i w:val="false"/>
                <w:color w:val="000000"/>
                <w:sz w:val="18"/>
                <w:vertAlign w:val="superscript"/>
              </w:rPr>
              <w:t>-6</w:t>
            </w:r>
          </w:p>
        </w:tc>
      </w:tr>
      <w:tr>
        <w:trPr>
          <w:trHeight w:val="255" w:hRule="atLeast"/>
        </w:trPr>
        <w:tc>
          <w:tcPr>
            <w:tcW w:w="41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3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u w:val="single"/>
        </w:rPr>
        <w:t>1</w:t>
      </w:r>
      <w:r>
        <w:rPr>
          <w:rFonts w:ascii="Times New Roman" w:hAnsi="Times New Roman"/>
          <w:b w:val="false"/>
          <w:i w:val="false"/>
          <w:color w:val="000000"/>
          <w:sz w:val="22"/>
        </w:rPr>
        <w:t>/ Values are given in Column I only for those materials normally used as gases.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2</w:t>
      </w:r>
      <w:r>
        <w:rPr>
          <w:rFonts w:ascii="Times New Roman" w:hAnsi="Times New Roman"/>
          <w:b w:val="false"/>
          <w:i w:val="false"/>
          <w:color w:val="000000"/>
          <w:sz w:val="22"/>
        </w:rPr>
        <w:t>/ μCi/g for solids.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NOTE 1: </w:t>
      </w:r>
      <w:r>
        <w:rPr>
          <w:rFonts w:ascii="Times New Roman" w:hAnsi="Times New Roman"/>
          <w:b w:val="false"/>
          <w:i w:val="false"/>
          <w:color w:val="000000"/>
          <w:sz w:val="22"/>
        </w:rPr>
        <w:t>Many radionuclides transform into other radionuclides. In expressing the concentrations in Appendix A, the activity stated is that of the parent radionuclide and takes into account the radioactive decay products.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NOTE 2: </w:t>
      </w:r>
      <w:r>
        <w:rPr>
          <w:rFonts w:ascii="Times New Roman" w:hAnsi="Times New Roman"/>
          <w:b w:val="false"/>
          <w:i w:val="false"/>
          <w:color w:val="000000"/>
          <w:sz w:val="22"/>
        </w:rPr>
        <w:t xml:space="preserve">For purposes of rule </w:t>
      </w:r>
      <w:hyperlink r:id="rId122">
        <w:r>
          <w:rPr>
            <w:rStyle w:val="Hyperlink"/>
            <w:rFonts w:ascii="Times New Roman" w:hAnsi="Times New Roman"/>
            <w:b w:val="false"/>
            <w:i w:val="false"/>
            <w:color w:val="000000"/>
            <w:sz w:val="22"/>
          </w:rPr>
          <w:t>641—39.6</w:t>
        </w:r>
      </w:hyperlink>
      <w:r>
        <w:rPr>
          <w:rFonts w:ascii="Times New Roman" w:hAnsi="Times New Roman"/>
          <w:b w:val="false"/>
          <w:i w:val="false"/>
          <w:color w:val="000000"/>
          <w:sz w:val="22"/>
        </w:rPr>
        <w:t>(136C) where there is involved a combination of radionuclides, the limit for the combination should be derived as follows: Determine for each radionuclide in the product the ratio between the radioactivity concentration present in the product and the exempt radioactivity concentration established in Appendix A for the specific radionuclide when not in combination. The sum of such ratios may not exceed “1.”</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u w:val="single"/>
        </w:rPr>
        <w:t>Concentration of Radionuclide A in Product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Exempt concentration of Radionuclide A</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Concentration of Radionuclide B in Product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u w:val="single"/>
        </w:rPr>
        <w:t>&lt;1</w:t>
      </w:r>
      <w:r>
        <w:rPr>
          <w:rFonts w:ascii="Times New Roman" w:hAnsi="Times New Roman"/>
          <w:b w:val="false"/>
          <w:i w:val="false"/>
          <w:color w:val="000000"/>
          <w:sz w:val="22"/>
        </w:rPr>
        <w:t xml:space="preserve"> Exempt concentration of Radionuclide B</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NOTE 3: </w:t>
      </w:r>
      <w:r>
        <w:rPr>
          <w:rFonts w:ascii="Times New Roman" w:hAnsi="Times New Roman"/>
          <w:b w:val="false"/>
          <w:i w:val="false"/>
          <w:color w:val="000000"/>
          <w:sz w:val="22"/>
        </w:rPr>
        <w:t>To convert μCi/ml to SI units of megabecquerels per liter multiply the above values by 37.</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Zirconium (40) Zr-97 (2 × 10</w:t>
      </w:r>
      <w:r>
        <w:rPr>
          <w:rFonts w:ascii="Times New Roman" w:hAnsi="Times New Roman"/>
          <w:b w:val="false"/>
          <w:i w:val="false"/>
          <w:color w:val="000000"/>
          <w:sz w:val="18"/>
          <w:vertAlign w:val="superscript"/>
        </w:rPr>
        <w:t xml:space="preserve">-4 </w:t>
      </w:r>
      <w:r>
        <w:rPr>
          <w:rFonts w:ascii="Times New Roman" w:hAnsi="Times New Roman"/>
          <w:b w:val="false"/>
          <w:i w:val="false"/>
          <w:color w:val="000000"/>
          <w:sz w:val="22"/>
        </w:rPr>
        <w:t>μCi/ml multiplied by 37 is equivalent to 74 × 10</w:t>
      </w: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xml:space="preserve"> MBq/l)</w:t>
      </w:r>
      <w:r>
        <w:br/>
      </w:r>
    </w:p>
    <w:p>
      <w:pPr>
        <w:spacing w:before="0" w:after="0"/>
        <w:ind w:left="120"/>
        <w:jc w:val="center"/>
      </w:pPr>
      <w:r>
        <w:br w:type="page"/>
      </w:r>
      <w:r>
        <w:rPr>
          <w:rFonts w:ascii="Times New Roman" w:hAnsi="Times New Roman"/>
          <w:b w:val="false"/>
          <w:i w:val="false"/>
          <w:color w:val="000000"/>
          <w:sz w:val="22"/>
        </w:rPr>
        <w:t>CHAPTER 39—APPENDIX E</w:t>
      </w:r>
    </w:p>
    <w:p>
      <w:pPr>
        <w:spacing w:before="0" w:after="0"/>
        <w:ind w:left="120"/>
        <w:jc w:val="center"/>
      </w:pPr>
      <w:r>
        <w:rPr>
          <w:rFonts w:ascii="Times New Roman" w:hAnsi="Times New Roman"/>
          <w:b w:val="false"/>
          <w:i w:val="false"/>
          <w:color w:val="000000"/>
          <w:sz w:val="22"/>
        </w:rPr>
        <w:t>EXEMPT QUANTITIES</w:t>
      </w:r>
    </w:p>
    <w:tbl>
      <w:tblPr>
        <w:tblW w:w="0" w:type="auto"/>
        <w:tblCellSpacing w:w="0" w:type="auto"/>
        <w:tblBorders>
          <w:top w:val="none"/>
          <w:left w:val="none"/>
          <w:bottom w:val="none"/>
          <w:right w:val="none"/>
          <w:insideH w:val="none"/>
          <w:insideV w:val="none"/>
        </w:tblBorders>
        <w:tblLayout w:type="fixed"/>
      </w:tblPr>
      <w:tblGrid>
        <w:gridCol w:w="6555"/>
        <w:gridCol w:w="4635"/>
      </w:tblGrid>
      <w:tr>
        <w:trPr>
          <w:trHeight w:val="270" w:hRule="atLeast"/>
        </w:trPr>
        <w:tc>
          <w:tcPr>
            <w:tcW w:w="65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Radioactive Material</w:t>
            </w:r>
          </w:p>
        </w:tc>
        <w:tc>
          <w:tcPr>
            <w:tcW w:w="463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i w:val="false"/>
                <w:color w:val="000000"/>
                <w:sz w:val="20"/>
              </w:rPr>
              <w:t>Microcuries</w:t>
            </w:r>
          </w:p>
        </w:tc>
      </w:tr>
      <w:tr>
        <w:trPr>
          <w:trHeight w:val="27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Antimony-122 (Sb 122)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Antimony-124 (Sb 124)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Antimony-125 (Sb 125)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Arsenic-73 (As 73)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Arsenic-74 (As 74)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Arsenic-76 (As 76)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Arsenic-77 (As 77)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Barium-131 (Ba 131)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Barium-133 (Ba 133)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Barium-140 (Ba 140)</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Bismuth-210 (Bi 210)</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Bromine-82 (Br 82)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Cadmium-109 (Cd 109)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Cadmium-115m (Cd 115m)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Cadmium-115 (Cd 115)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Calcium-45 (Ca 45)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Calcium-47 (Ca 47)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Carbon-14 (C 14)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Cerium-141 (Ce 141)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Cerium-143 (Ce 143)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Cerium-144 (Ce 144)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Cesium-129 (Cs 129)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Cesium-131 (Cs 131)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Cesium-134m (Cs 134m)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Cesium-134 (Cs 134)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Cesium-135 (Cs 135)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Cesium-136 (Cs 136)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Cesium-137 (Cs 137)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Chlorine-36 (Cl 36)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Chlorine-38 (Cl 38)</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Chromium-51 (Cr 51)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Cobalt-57 (Co 57)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Cobalt-58m (Co 58m)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Cobalt-58 (Co 58)</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Cobalt-60 (Co 60)</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Copper-64 (Cu 64)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Dysprosium-165 (Dy 165)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Dysprosium-166 (Dy 166)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Erbium-169 (Er 169)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Erbium-171 (Er 171)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Europium-152 (Eu 152)9.2h</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Europium-152 (Eu 152)13 yr</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Europium-154 (Eu 154)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Europium-155 (Eu 155)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37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Fluorine-18 (F 18)</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Gadolinium-153 (Gd 153)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Gadolinium-159 (Gd 159)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Gallium-67 (Ga 67)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Gallium-72 (Ga 72)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Germanium-68 (Ge 68)</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Germanium-71 (Ge 71)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Gold-195 (Au 195)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Gold-198 (Au 198)</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Gold-199 (Au 199)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Hafnium-181 (Hf 181)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Holmium-166 (Ho 166)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Hydrogen-3 (H 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Indium-111 (In 111)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Indium-113m (In 113m)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Indium-114m (In 114m)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Indium-115m (In 115m)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Indium-115 (In 115)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Iodine-123 (I 123)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Iodine-125 (I 125)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Iodine-126 (I 126)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Iodine-129 (I 129)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0.1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Iodine-131 (I 131)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Iodine-132 (I 132)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Iodine-133 (I 133)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Iodine-134 (I 134)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Iodine-135 (I 135)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Iridium-192 (Ir 192)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Iridium-194 (Ir 194)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Iron-52 (Fe 52)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Iron-55 (Fe 55)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Iron-59 (Fe 59)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Krypton-85 (Kr 85)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Krypton-87 (Kr 87)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Lanthanum-140 (La 140)</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Lutetium-177 (Lu 177)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Manganese-52 (Mn 52)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Manganese-54 (Mn 54)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Manganese-56 (Mn 56)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Mercury-197m (Hg 197m)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Mercury-197 (Hg 197)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Mercury-203 (Hg 203)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Molybdenum-99 (Mo 99)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Neodymium-147 (Nd 147)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Neodymium-149 (Nd 149)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Nickel-59 (Ni 59)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Nickel-63 (Ni 63)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Nickel-65 (Ni 65)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33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Niobium-93m (Nb 93m)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Niobium-95 (Nb 95)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Niobium-97 (Nb 97)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Osmium-185 (Os 185)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Osmium-191m (Os 191m)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Osmium-191 (Os 191)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Osmium-193 (Os 193)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Palladium-103 (Pd 103)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Palladium-109 (Pd 109)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Phosphorus-32 (P 32)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Platinum-191 (Pt 191)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Platinum-193m (Pt 193m)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Platinum-193 (Pt 193)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Platinum-197m (Pt 197m)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Platinum-197 (Pt 197)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Polonium-210 (Po 210)</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0.1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Potassium-42 (K 42)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Potassium-43 (K 43)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Praseodymium-142 (Pr 142)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Praseodymium-143 (Pr 143)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Promethium-147 (Pm 147)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Promethium-149 (Pm 149)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Rhenium-186 (Re 186)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Rhenium-188 (Re 188)</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Rhodium-105 (Rh 105)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Rubidium-81 (Rb 81)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Rubidium-86 (Rb 86)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Rubidium-87 (Rb 87)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Ruthenium-97 (Ru 97)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Ruthenium-103 (Ru 103)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Ruthenium-105 (Ru 105)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Ruthenium-106 (Ru 106)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Samarium-151 (Sm 151)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Samarium-153 (Sm 153)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Scandium-46 (Sc 46)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Scandium-47 (Sc 47)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Scandium-48 (Sc 48)</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Selenium-75 (Se 75)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Silicon-31 (Si 31)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Silver-105 (Ag 105)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Silver-110m (Ag 110m)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Silver-111 (Ag 111)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Sodium-22 (Na 22)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Sodium-24 (Na 24)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Strontium-85 (Sr 85)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Strontium-89 (Sr 89)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Strontium-90 (Sr 90)</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0.1</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Strontium-91 (Sr 91)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33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Strontium-92 (Sr 92)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Sulphur-35 (S 35)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Tantalum-182 (Ta 182)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Technetium-96 (Tc 96)</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Technetium-97m (Tc 97m)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Technetium-97 (Tc 97)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Technetium-99m (Tc 99m)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Technetium-99 (Tc 99)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Tellurium-125m (Te 125m)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Tellurium-127m (Te 127m)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Tellurium-127 (Te 127)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Tellurium-129m (Te 129m)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Tellurium-129 (Te 129)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Tellurium-131m (Te 131m)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Tellurium-132 (Te 132)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Terbium-160 (Tb 160)</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Thallium-200 (Tl 200)</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Thallium-201 (Tl 201)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Thallium-202 (Tl 202)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Thallium-204 (Tl 204)</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Thulium-170 (Tm 170)</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Thulium-171 (Tm 171)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Tin-113 (Sn 113)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Tin-125 (Sn 125)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Tungsten-181 (W 181)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Tungsten-185 (W 185)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Tungsten-187 (W 187)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Vanadium-48 (V 48)</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Xenon-131m (Xe 131m)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Xenon-133 (Xe 133)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Xenon-135 (Xe 135)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Ytterbium-175 (Yb 175)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Yttrium-87 (Y 87)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Yttrium-88 (Y 88)</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Yttrium-90 (Y 90)</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Yttrium-91 (Y 91)</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Yttrium-92 (Y 92)</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Yttrium-93 (Y 93)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Zinc-65 (Zn 65)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Zinc-69m (Zn 69m)</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Zinc-69 (Zn 69)</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1,000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Zirconium-93 (Zr 93)</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Zirconium-95 (Zr 95)</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255"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Zirconium-97 (Zr 97)</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10</w:t>
            </w:r>
          </w:p>
        </w:tc>
      </w:tr>
      <w:tr>
        <w:trPr>
          <w:trHeight w:val="480" w:hRule="atLeast"/>
        </w:trPr>
        <w:tc>
          <w:tcPr>
            <w:tcW w:w="655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Any radioactive material not listed above other than alpha-emitting radioactive material</w:t>
            </w:r>
          </w:p>
        </w:tc>
        <w:tc>
          <w:tcPr>
            <w:tcW w:w="46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 xml:space="preserve"> 0.1</w:t>
            </w:r>
          </w:p>
        </w:tc>
      </w:tr>
    </w:tbl>
    <w:p>
      <w:pPr>
        <w:spacing w:before="0" w:after="0"/>
        <w:ind w:left="120"/>
        <w:jc w:val="both"/>
      </w:pPr>
      <w:r>
        <w:rPr>
          <w:rFonts w:ascii="Times New Roman" w:hAnsi="Times New Roman"/>
          <w:b w:val="false"/>
          <w:i w:val="false"/>
          <w:color w:val="000000"/>
          <w:sz w:val="22"/>
        </w:rPr>
        <w:t xml:space="preserve">NOTE 1: </w:t>
      </w:r>
      <w:r>
        <w:rPr>
          <w:rFonts w:ascii="Times New Roman" w:hAnsi="Times New Roman"/>
          <w:b w:val="false"/>
          <w:i w:val="false"/>
          <w:color w:val="000000"/>
          <w:sz w:val="22"/>
        </w:rPr>
        <w:t xml:space="preserve">For purposes of rule </w:t>
      </w:r>
      <w:hyperlink r:id="rId123">
        <w:r>
          <w:rPr>
            <w:rStyle w:val="Hyperlink"/>
            <w:rFonts w:ascii="Times New Roman" w:hAnsi="Times New Roman"/>
            <w:b w:val="false"/>
            <w:i w:val="false"/>
            <w:color w:val="000000"/>
            <w:sz w:val="22"/>
          </w:rPr>
          <w:t>641—39.6(136C)</w:t>
        </w:r>
      </w:hyperlink>
      <w:r>
        <w:rPr>
          <w:rFonts w:ascii="Times New Roman" w:hAnsi="Times New Roman"/>
          <w:b w:val="false"/>
          <w:i w:val="false"/>
          <w:color w:val="000000"/>
          <w:sz w:val="22"/>
        </w:rPr>
        <w:t xml:space="preserve"> where there is involved a combination of radionuclides, the limit for the combination should be derived as follows:</w:t>
      </w:r>
    </w:p>
    <w:p>
      <w:pPr>
        <w:spacing w:before="0" w:after="0"/>
        <w:ind w:left="120"/>
        <w:jc w:val="both"/>
      </w:pPr>
      <w:r>
        <w:rPr>
          <w:rFonts w:ascii="Times New Roman" w:hAnsi="Times New Roman"/>
          <w:b w:val="false"/>
          <w:i w:val="false"/>
          <w:color w:val="000000"/>
          <w:sz w:val="22"/>
        </w:rPr>
        <w:t>Determine the amount of each radionuclide possessed and 1,000 times the amount in Appendix B for each of those radionuclides when not in combination. The sum of the ratios of those quantities may not exceed 1.</w:t>
      </w:r>
    </w:p>
    <w:p>
      <w:pPr>
        <w:spacing w:before="0" w:after="0"/>
        <w:ind w:left="120"/>
        <w:jc w:val="both"/>
      </w:pPr>
      <w:r>
        <w:rPr>
          <w:rFonts w:ascii="Times New Roman" w:hAnsi="Times New Roman"/>
          <w:b w:val="false"/>
          <w:i w:val="false"/>
          <w:color w:val="000000"/>
          <w:sz w:val="22"/>
        </w:rPr>
        <w:t>EXAMPLE:</w:t>
      </w:r>
    </w:p>
    <w:tbl>
      <w:tblPr>
        <w:tblW w:w="0" w:type="auto"/>
        <w:tblCellSpacing w:w="0" w:type="auto"/>
        <w:tblBorders>
          <w:top w:val="none"/>
          <w:left w:val="none"/>
          <w:bottom w:val="none"/>
          <w:right w:val="none"/>
          <w:insideH w:val="none"/>
          <w:insideV w:val="none"/>
        </w:tblBorders>
        <w:tblLayout w:type="fixed"/>
      </w:tblPr>
      <w:tblGrid>
        <w:gridCol w:w="1062"/>
        <w:gridCol w:w="3868"/>
        <w:gridCol w:w="1196"/>
        <w:gridCol w:w="3868"/>
        <w:gridCol w:w="1196"/>
      </w:tblGrid>
      <w:tr>
        <w:trPr>
          <w:trHeight w:val="255" w:hRule="atLeast"/>
        </w:trPr>
        <w:tc>
          <w:tcPr>
            <w:tcW w:w="10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Amt. of Radionuclide A</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Amt. of Radionuclide B </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70" w:hRule="atLeast"/>
        </w:trPr>
        <w:tc>
          <w:tcPr>
            <w:tcW w:w="10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86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possessed</w:t>
            </w:r>
          </w:p>
        </w:tc>
        <w:tc>
          <w:tcPr>
            <w:tcW w:w="119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t>
            </w:r>
          </w:p>
        </w:tc>
        <w:tc>
          <w:tcPr>
            <w:tcW w:w="386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possessed</w:t>
            </w:r>
          </w:p>
        </w:tc>
        <w:tc>
          <w:tcPr>
            <w:tcW w:w="1196"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20"/>
              </w:rPr>
              <w:t>μ 1</w:t>
            </w:r>
          </w:p>
        </w:tc>
      </w:tr>
      <w:tr>
        <w:trPr>
          <w:trHeight w:val="270" w:hRule="atLeast"/>
        </w:trPr>
        <w:tc>
          <w:tcPr>
            <w:tcW w:w="10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1000 × Appendix B quantity</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1000 × Appendix B quantity</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55" w:hRule="atLeast"/>
        </w:trPr>
        <w:tc>
          <w:tcPr>
            <w:tcW w:w="10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for Radionuclide A</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38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for Radionuclide B</w:t>
            </w:r>
          </w:p>
        </w:tc>
        <w:tc>
          <w:tcPr>
            <w:tcW w:w="11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bl>
    <w:p>
      <w:pPr>
        <w:spacing w:before="0" w:after="0"/>
        <w:ind w:left="120"/>
        <w:jc w:val="both"/>
      </w:pPr>
      <w:r>
        <w:rPr>
          <w:rFonts w:ascii="Times New Roman" w:hAnsi="Times New Roman"/>
          <w:b w:val="false"/>
          <w:i w:val="false"/>
          <w:color w:val="000000"/>
          <w:sz w:val="22"/>
        </w:rPr>
        <w:t xml:space="preserve">NOTE 2: </w:t>
      </w:r>
      <w:r>
        <w:rPr>
          <w:rFonts w:ascii="Times New Roman" w:hAnsi="Times New Roman"/>
          <w:b w:val="false"/>
          <w:i w:val="false"/>
          <w:color w:val="000000"/>
          <w:sz w:val="22"/>
        </w:rPr>
        <w:t>To convert microcuries (μCi) to SI units of kilobecquerels (kBq), multiply the above values by 37.</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Zirconium-97 (10 μCi multiplied by 37 is equivalent to 370 kBq).</w:t>
      </w:r>
    </w:p>
    <w:p>
      <w:pPr>
        <w:spacing w:before="0" w:after="0"/>
        <w:ind w:left="120"/>
        <w:jc w:val="center"/>
      </w:pPr>
      <w:r>
        <w:br w:type="page"/>
      </w:r>
      <w:r>
        <w:rPr>
          <w:rFonts w:ascii="Times New Roman" w:hAnsi="Times New Roman"/>
          <w:b w:val="false"/>
          <w:i w:val="false"/>
          <w:color w:val="000000"/>
          <w:sz w:val="22"/>
        </w:rPr>
        <w:t>CHAPTER 39—APPENDIX F</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GENERAL REQUIREMENTS FOR INSPECTION OF</w:t>
      </w:r>
    </w:p>
    <w:p>
      <w:pPr>
        <w:spacing w:before="0" w:after="0"/>
        <w:ind w:left="120"/>
        <w:jc w:val="center"/>
      </w:pPr>
      <w:r>
        <w:rPr>
          <w:rFonts w:ascii="Times New Roman" w:hAnsi="Times New Roman"/>
          <w:b w:val="false"/>
          <w:i w:val="false"/>
          <w:color w:val="000000"/>
          <w:sz w:val="22"/>
        </w:rPr>
        <w:t>INDUSTRIAL RADIOGRAPHIC EQUIPMENT</w:t>
      </w:r>
    </w:p>
    <w:p>
      <w:pPr>
        <w:spacing w:before="0" w:after="0"/>
        <w:ind w:left="120"/>
        <w:jc w:val="both"/>
      </w:pPr>
      <w:r>
        <w:rPr>
          <w:rFonts w:ascii="Times New Roman" w:hAnsi="Times New Roman"/>
          <w:b w:val="false"/>
          <w:i w:val="false"/>
          <w:color w:val="000000"/>
          <w:sz w:val="22"/>
        </w:rPr>
        <w:t xml:space="preserve">I. Panoramic devices (devices in which the sealed source is physically removed from the </w:t>
      </w:r>
    </w:p>
    <w:p>
      <w:pPr>
        <w:spacing w:before="0" w:after="0"/>
        <w:ind w:left="120"/>
        <w:jc w:val="both"/>
      </w:pPr>
      <w:r>
        <w:rPr>
          <w:rFonts w:ascii="Times New Roman" w:hAnsi="Times New Roman"/>
          <w:b w:val="false"/>
          <w:i w:val="false"/>
          <w:color w:val="000000"/>
          <w:sz w:val="22"/>
        </w:rPr>
        <w:t xml:space="preserve"> shielded container during exposure) shall be inspected for:</w:t>
      </w:r>
    </w:p>
    <w:p>
      <w:pPr>
        <w:spacing w:before="0" w:after="0"/>
        <w:ind w:left="120"/>
        <w:jc w:val="both"/>
      </w:pPr>
      <w:r>
        <w:rPr>
          <w:rFonts w:ascii="Times New Roman" w:hAnsi="Times New Roman"/>
          <w:b w:val="false"/>
          <w:i w:val="false"/>
          <w:color w:val="000000"/>
          <w:sz w:val="22"/>
        </w:rPr>
        <w:t>A. Radiographic exposure unit:</w:t>
      </w:r>
    </w:p>
    <w:p>
      <w:pPr>
        <w:spacing w:before="0" w:after="0"/>
        <w:ind w:left="120"/>
        <w:jc w:val="both"/>
      </w:pPr>
      <w:r>
        <w:rPr>
          <w:rFonts w:ascii="Times New Roman" w:hAnsi="Times New Roman"/>
          <w:b w:val="false"/>
          <w:i w:val="false"/>
          <w:color w:val="000000"/>
          <w:sz w:val="22"/>
        </w:rPr>
        <w:t>1. Abnormal surface radiation levels anywhere on camera, collimator, or guide tube;</w:t>
      </w:r>
    </w:p>
    <w:p>
      <w:pPr>
        <w:spacing w:before="0" w:after="0"/>
        <w:ind w:left="120"/>
        <w:jc w:val="both"/>
      </w:pPr>
      <w:r>
        <w:rPr>
          <w:rFonts w:ascii="Times New Roman" w:hAnsi="Times New Roman"/>
          <w:b w:val="false"/>
          <w:i w:val="false"/>
          <w:color w:val="000000"/>
          <w:sz w:val="22"/>
        </w:rPr>
        <w:t>2. Condition of safety plugs;</w:t>
      </w:r>
    </w:p>
    <w:p>
      <w:pPr>
        <w:spacing w:before="0" w:after="0"/>
        <w:ind w:left="120"/>
        <w:jc w:val="both"/>
      </w:pPr>
      <w:r>
        <w:rPr>
          <w:rFonts w:ascii="Times New Roman" w:hAnsi="Times New Roman"/>
          <w:b w:val="false"/>
          <w:i w:val="false"/>
          <w:color w:val="000000"/>
          <w:sz w:val="22"/>
        </w:rPr>
        <w:t>3. Proper operation of locking mechanism;</w:t>
      </w:r>
    </w:p>
    <w:p>
      <w:pPr>
        <w:spacing w:before="0" w:after="0"/>
        <w:ind w:left="120"/>
        <w:jc w:val="both"/>
      </w:pPr>
      <w:r>
        <w:rPr>
          <w:rFonts w:ascii="Times New Roman" w:hAnsi="Times New Roman"/>
          <w:b w:val="false"/>
          <w:i w:val="false"/>
          <w:color w:val="000000"/>
          <w:sz w:val="22"/>
        </w:rPr>
        <w:t>4. Condition of pigtail connector;</w:t>
      </w:r>
    </w:p>
    <w:p>
      <w:pPr>
        <w:spacing w:before="0" w:after="0"/>
        <w:ind w:left="120"/>
        <w:jc w:val="both"/>
      </w:pPr>
      <w:r>
        <w:rPr>
          <w:rFonts w:ascii="Times New Roman" w:hAnsi="Times New Roman"/>
          <w:b w:val="false"/>
          <w:i w:val="false"/>
          <w:color w:val="000000"/>
          <w:sz w:val="22"/>
        </w:rPr>
        <w:t>5. Condition of carrying device (straps, handle, etc.);</w:t>
      </w:r>
    </w:p>
    <w:p>
      <w:pPr>
        <w:spacing w:before="0" w:after="0"/>
        <w:ind w:left="120"/>
        <w:jc w:val="both"/>
      </w:pPr>
      <w:r>
        <w:rPr>
          <w:rFonts w:ascii="Times New Roman" w:hAnsi="Times New Roman"/>
          <w:b w:val="false"/>
          <w:i w:val="false"/>
          <w:color w:val="000000"/>
          <w:sz w:val="22"/>
        </w:rPr>
        <w:t>6. Proper labeling.</w:t>
      </w:r>
    </w:p>
    <w:p>
      <w:pPr>
        <w:spacing w:before="0" w:after="0"/>
        <w:ind w:left="120"/>
        <w:jc w:val="both"/>
      </w:pPr>
      <w:r>
        <w:rPr>
          <w:rFonts w:ascii="Times New Roman" w:hAnsi="Times New Roman"/>
          <w:b w:val="false"/>
          <w:i w:val="false"/>
          <w:color w:val="000000"/>
          <w:sz w:val="22"/>
        </w:rPr>
        <w:t>B. Source tube:</w:t>
      </w:r>
    </w:p>
    <w:p>
      <w:pPr>
        <w:spacing w:before="0" w:after="0"/>
        <w:ind w:left="120"/>
        <w:jc w:val="both"/>
      </w:pPr>
      <w:r>
        <w:rPr>
          <w:rFonts w:ascii="Times New Roman" w:hAnsi="Times New Roman"/>
          <w:b w:val="false"/>
          <w:i w:val="false"/>
          <w:color w:val="000000"/>
          <w:sz w:val="22"/>
        </w:rPr>
        <w:t>1. Rust, dirt, or sludge buildup inside the source tube;</w:t>
      </w:r>
    </w:p>
    <w:p>
      <w:pPr>
        <w:spacing w:before="0" w:after="0"/>
        <w:ind w:left="120"/>
        <w:jc w:val="both"/>
      </w:pPr>
      <w:r>
        <w:rPr>
          <w:rFonts w:ascii="Times New Roman" w:hAnsi="Times New Roman"/>
          <w:b w:val="false"/>
          <w:i w:val="false"/>
          <w:color w:val="000000"/>
          <w:sz w:val="22"/>
        </w:rPr>
        <w:t>2. Condition of source tube connector;</w:t>
      </w:r>
    </w:p>
    <w:p>
      <w:pPr>
        <w:spacing w:before="0" w:after="0"/>
        <w:ind w:left="120"/>
        <w:jc w:val="both"/>
      </w:pPr>
      <w:r>
        <w:rPr>
          <w:rFonts w:ascii="Times New Roman" w:hAnsi="Times New Roman"/>
          <w:b w:val="false"/>
          <w:i w:val="false"/>
          <w:color w:val="000000"/>
          <w:sz w:val="22"/>
        </w:rPr>
        <w:t>3. Condition of source stop;</w:t>
      </w:r>
    </w:p>
    <w:p>
      <w:pPr>
        <w:spacing w:before="0" w:after="0"/>
        <w:ind w:left="120"/>
        <w:jc w:val="both"/>
      </w:pPr>
      <w:r>
        <w:rPr>
          <w:rFonts w:ascii="Times New Roman" w:hAnsi="Times New Roman"/>
          <w:b w:val="false"/>
          <w:i w:val="false"/>
          <w:color w:val="000000"/>
          <w:sz w:val="22"/>
        </w:rPr>
        <w:t>4. Kinks or damage that could prevent proper operation;</w:t>
      </w:r>
    </w:p>
    <w:p>
      <w:pPr>
        <w:spacing w:before="0" w:after="0"/>
        <w:ind w:left="120"/>
        <w:jc w:val="both"/>
      </w:pPr>
      <w:r>
        <w:rPr>
          <w:rFonts w:ascii="Times New Roman" w:hAnsi="Times New Roman"/>
          <w:b w:val="false"/>
          <w:i w:val="false"/>
          <w:color w:val="000000"/>
          <w:sz w:val="22"/>
        </w:rPr>
        <w:t>5. Presence of radioactive contamination.</w:t>
      </w:r>
    </w:p>
    <w:p>
      <w:pPr>
        <w:spacing w:before="0" w:after="0"/>
        <w:ind w:left="120"/>
        <w:jc w:val="both"/>
      </w:pPr>
      <w:r>
        <w:rPr>
          <w:rFonts w:ascii="Times New Roman" w:hAnsi="Times New Roman"/>
          <w:b w:val="false"/>
          <w:i w:val="false"/>
          <w:color w:val="000000"/>
          <w:sz w:val="22"/>
        </w:rPr>
        <w:t>C. Control cables and drive mechanism:</w:t>
      </w:r>
    </w:p>
    <w:p>
      <w:pPr>
        <w:spacing w:before="0" w:after="0"/>
        <w:ind w:left="120"/>
        <w:jc w:val="both"/>
      </w:pPr>
      <w:r>
        <w:rPr>
          <w:rFonts w:ascii="Times New Roman" w:hAnsi="Times New Roman"/>
          <w:b w:val="false"/>
          <w:i w:val="false"/>
          <w:color w:val="000000"/>
          <w:sz w:val="22"/>
        </w:rPr>
        <w:t>1. Proper drive mechanism with camera, as appropriate;</w:t>
      </w:r>
    </w:p>
    <w:p>
      <w:pPr>
        <w:spacing w:before="0" w:after="0"/>
        <w:ind w:left="120"/>
        <w:jc w:val="both"/>
      </w:pPr>
      <w:r>
        <w:rPr>
          <w:rFonts w:ascii="Times New Roman" w:hAnsi="Times New Roman"/>
          <w:b w:val="false"/>
          <w:i w:val="false"/>
          <w:color w:val="000000"/>
          <w:sz w:val="22"/>
        </w:rPr>
        <w:t>2. Changes in general operating characteristics;</w:t>
      </w:r>
    </w:p>
    <w:p>
      <w:pPr>
        <w:spacing w:before="0" w:after="0"/>
        <w:ind w:left="120"/>
        <w:jc w:val="both"/>
      </w:pPr>
      <w:r>
        <w:rPr>
          <w:rFonts w:ascii="Times New Roman" w:hAnsi="Times New Roman"/>
          <w:b w:val="false"/>
          <w:i w:val="false"/>
          <w:color w:val="000000"/>
          <w:sz w:val="22"/>
        </w:rPr>
        <w:t>3. Condition of connector on drive cable;</w:t>
      </w:r>
    </w:p>
    <w:p>
      <w:pPr>
        <w:spacing w:before="0" w:after="0"/>
        <w:ind w:left="120"/>
        <w:jc w:val="both"/>
      </w:pPr>
      <w:r>
        <w:rPr>
          <w:rFonts w:ascii="Times New Roman" w:hAnsi="Times New Roman"/>
          <w:b w:val="false"/>
          <w:i w:val="false"/>
          <w:color w:val="000000"/>
          <w:sz w:val="22"/>
        </w:rPr>
        <w:t>4. Drive cable flexibility, wear, and rust;</w:t>
      </w:r>
    </w:p>
    <w:p>
      <w:pPr>
        <w:spacing w:before="0" w:after="0"/>
        <w:ind w:left="120"/>
        <w:jc w:val="both"/>
      </w:pPr>
      <w:r>
        <w:rPr>
          <w:rFonts w:ascii="Times New Roman" w:hAnsi="Times New Roman"/>
          <w:b w:val="false"/>
          <w:i w:val="false"/>
          <w:color w:val="000000"/>
          <w:sz w:val="22"/>
        </w:rPr>
        <w:t>5. Excessive wear or damage to crank assembly parts;</w:t>
      </w:r>
    </w:p>
    <w:p>
      <w:pPr>
        <w:spacing w:before="0" w:after="0"/>
        <w:ind w:left="120"/>
        <w:jc w:val="both"/>
      </w:pPr>
      <w:r>
        <w:rPr>
          <w:rFonts w:ascii="Times New Roman" w:hAnsi="Times New Roman"/>
          <w:b w:val="false"/>
          <w:i w:val="false"/>
          <w:color w:val="000000"/>
          <w:sz w:val="22"/>
        </w:rPr>
        <w:t>6. Damage to drive cable conduit that could prevent the cable from moving easily;</w:t>
      </w:r>
    </w:p>
    <w:p>
      <w:pPr>
        <w:spacing w:before="0" w:after="0"/>
        <w:ind w:left="120"/>
        <w:jc w:val="both"/>
      </w:pPr>
      <w:r>
        <w:rPr>
          <w:rFonts w:ascii="Times New Roman" w:hAnsi="Times New Roman"/>
          <w:b w:val="false"/>
          <w:i w:val="false"/>
          <w:color w:val="000000"/>
          <w:sz w:val="22"/>
        </w:rPr>
        <w:t>7. Connection of the control cable connector with the pigtail connector for proper mating;</w:t>
      </w:r>
    </w:p>
    <w:p>
      <w:pPr>
        <w:spacing w:before="0" w:after="0"/>
        <w:ind w:left="120"/>
        <w:jc w:val="both"/>
      </w:pPr>
      <w:r>
        <w:rPr>
          <w:rFonts w:ascii="Times New Roman" w:hAnsi="Times New Roman"/>
          <w:b w:val="false"/>
          <w:i w:val="false"/>
          <w:color w:val="000000"/>
          <w:sz w:val="22"/>
        </w:rPr>
        <w:t>8. Proper operation of source position indicator, if applicable;</w:t>
      </w:r>
    </w:p>
    <w:p>
      <w:pPr>
        <w:spacing w:before="0" w:after="0"/>
        <w:ind w:left="120"/>
        <w:jc w:val="both"/>
      </w:pPr>
      <w:r>
        <w:rPr>
          <w:rFonts w:ascii="Times New Roman" w:hAnsi="Times New Roman"/>
          <w:b w:val="false"/>
          <w:i w:val="false"/>
          <w:color w:val="000000"/>
          <w:sz w:val="22"/>
        </w:rPr>
        <w:t>9. Presence of radioactive contamination.</w:t>
      </w:r>
    </w:p>
    <w:p>
      <w:pPr>
        <w:spacing w:before="0" w:after="0"/>
        <w:ind w:left="120"/>
        <w:jc w:val="both"/>
      </w:pPr>
      <w:r>
        <w:rPr>
          <w:rFonts w:ascii="Times New Roman" w:hAnsi="Times New Roman"/>
          <w:b w:val="false"/>
          <w:i w:val="false"/>
          <w:color w:val="000000"/>
          <w:sz w:val="22"/>
        </w:rPr>
        <w:t>II. Directional beam devices shall be inspected for:</w:t>
      </w:r>
    </w:p>
    <w:p>
      <w:pPr>
        <w:spacing w:before="0" w:after="0"/>
        <w:ind w:left="120"/>
        <w:jc w:val="both"/>
      </w:pPr>
      <w:r>
        <w:rPr>
          <w:rFonts w:ascii="Times New Roman" w:hAnsi="Times New Roman"/>
          <w:b w:val="false"/>
          <w:i w:val="false"/>
          <w:color w:val="000000"/>
          <w:sz w:val="22"/>
        </w:rPr>
        <w:t>A. Abnormal surface radiation;</w:t>
      </w:r>
    </w:p>
    <w:p>
      <w:pPr>
        <w:spacing w:before="0" w:after="0"/>
        <w:ind w:left="120"/>
        <w:jc w:val="both"/>
      </w:pPr>
      <w:r>
        <w:rPr>
          <w:rFonts w:ascii="Times New Roman" w:hAnsi="Times New Roman"/>
          <w:b w:val="false"/>
          <w:i w:val="false"/>
          <w:color w:val="000000"/>
          <w:sz w:val="22"/>
        </w:rPr>
        <w:t>B. Changes in the general operating characteristics of the unit;</w:t>
      </w:r>
    </w:p>
    <w:p>
      <w:pPr>
        <w:spacing w:before="0" w:after="0"/>
        <w:ind w:left="120"/>
        <w:jc w:val="both"/>
      </w:pPr>
      <w:r>
        <w:rPr>
          <w:rFonts w:ascii="Times New Roman" w:hAnsi="Times New Roman"/>
          <w:b w:val="false"/>
          <w:i w:val="false"/>
          <w:color w:val="000000"/>
          <w:sz w:val="22"/>
        </w:rPr>
        <w:t>C. Proper operation of shutter mechanism;</w:t>
      </w:r>
    </w:p>
    <w:p>
      <w:pPr>
        <w:spacing w:before="0" w:after="0"/>
        <w:ind w:left="120"/>
        <w:jc w:val="both"/>
      </w:pPr>
      <w:r>
        <w:rPr>
          <w:rFonts w:ascii="Times New Roman" w:hAnsi="Times New Roman"/>
          <w:b w:val="false"/>
          <w:i w:val="false"/>
          <w:color w:val="000000"/>
          <w:sz w:val="22"/>
        </w:rPr>
        <w:t>D. Chafing or binding of shutter mechanism;</w:t>
      </w:r>
    </w:p>
    <w:p>
      <w:pPr>
        <w:spacing w:before="0" w:after="0"/>
        <w:ind w:left="120"/>
        <w:jc w:val="both"/>
      </w:pPr>
      <w:r>
        <w:rPr>
          <w:rFonts w:ascii="Times New Roman" w:hAnsi="Times New Roman"/>
          <w:b w:val="false"/>
          <w:i w:val="false"/>
          <w:color w:val="000000"/>
          <w:sz w:val="22"/>
        </w:rPr>
        <w:t>E. Damage to the device that might impair its operation;</w:t>
      </w:r>
    </w:p>
    <w:p>
      <w:pPr>
        <w:spacing w:before="0" w:after="0"/>
        <w:ind w:left="120"/>
        <w:jc w:val="both"/>
      </w:pPr>
      <w:r>
        <w:rPr>
          <w:rFonts w:ascii="Times New Roman" w:hAnsi="Times New Roman"/>
          <w:b w:val="false"/>
          <w:i w:val="false"/>
          <w:color w:val="000000"/>
          <w:sz w:val="22"/>
        </w:rPr>
        <w:t>F. Proper operation of locking mechanism;</w:t>
      </w:r>
    </w:p>
    <w:p>
      <w:pPr>
        <w:spacing w:before="0" w:after="0"/>
        <w:ind w:left="120"/>
        <w:jc w:val="both"/>
      </w:pPr>
      <w:r>
        <w:rPr>
          <w:rFonts w:ascii="Times New Roman" w:hAnsi="Times New Roman"/>
          <w:b w:val="false"/>
          <w:i w:val="false"/>
          <w:color w:val="000000"/>
          <w:sz w:val="22"/>
        </w:rPr>
        <w:t>G. Proper drive mechanism with camera, as appropriate;</w:t>
      </w:r>
    </w:p>
    <w:p>
      <w:pPr>
        <w:spacing w:before="0" w:after="0"/>
        <w:ind w:left="120"/>
        <w:jc w:val="both"/>
      </w:pPr>
      <w:r>
        <w:rPr>
          <w:rFonts w:ascii="Times New Roman" w:hAnsi="Times New Roman"/>
          <w:b w:val="false"/>
          <w:i w:val="false"/>
          <w:color w:val="000000"/>
          <w:sz w:val="22"/>
        </w:rPr>
        <w:t>H. Condition of carrying device (strap, handle, etc.);</w:t>
      </w:r>
    </w:p>
    <w:p>
      <w:pPr>
        <w:spacing w:before="0" w:after="0"/>
        <w:ind w:left="120"/>
        <w:jc w:val="both"/>
      </w:pPr>
      <w:r>
        <w:rPr>
          <w:rFonts w:ascii="Times New Roman" w:hAnsi="Times New Roman"/>
          <w:b w:val="false"/>
          <w:i w:val="false"/>
          <w:color w:val="000000"/>
          <w:sz w:val="22"/>
        </w:rPr>
        <w:t>I. Proper labeling.</w:t>
      </w:r>
    </w:p>
    <w:p>
      <w:pPr>
        <w:spacing w:before="0" w:after="0"/>
        <w:ind w:left="120"/>
        <w:jc w:val="both"/>
      </w:pPr>
      <w:r>
        <w:rPr>
          <w:rFonts w:ascii="Times New Roman" w:hAnsi="Times New Roman"/>
          <w:b w:val="false"/>
          <w:i w:val="false"/>
          <w:color w:val="000000"/>
          <w:sz w:val="22"/>
        </w:rPr>
        <w:t>III. X-ray equipment shall be inspected for:</w:t>
      </w:r>
    </w:p>
    <w:p>
      <w:pPr>
        <w:spacing w:before="0" w:after="0"/>
        <w:ind w:left="120"/>
        <w:jc w:val="both"/>
      </w:pPr>
      <w:r>
        <w:rPr>
          <w:rFonts w:ascii="Times New Roman" w:hAnsi="Times New Roman"/>
          <w:b w:val="false"/>
          <w:i w:val="false"/>
          <w:color w:val="000000"/>
          <w:sz w:val="22"/>
        </w:rPr>
        <w:t>A. Change in the general operating characteristics of the unit;</w:t>
      </w:r>
    </w:p>
    <w:p>
      <w:pPr>
        <w:spacing w:before="0" w:after="0"/>
        <w:ind w:left="120"/>
        <w:jc w:val="both"/>
      </w:pPr>
      <w:r>
        <w:rPr>
          <w:rFonts w:ascii="Times New Roman" w:hAnsi="Times New Roman"/>
          <w:b w:val="false"/>
          <w:i w:val="false"/>
          <w:color w:val="000000"/>
          <w:sz w:val="22"/>
        </w:rPr>
        <w:t>B. Wear of electrical cables and connectors;</w:t>
      </w:r>
    </w:p>
    <w:p>
      <w:pPr>
        <w:spacing w:before="0" w:after="0"/>
        <w:ind w:left="120"/>
        <w:jc w:val="both"/>
      </w:pPr>
      <w:r>
        <w:rPr>
          <w:rFonts w:ascii="Times New Roman" w:hAnsi="Times New Roman"/>
          <w:b w:val="false"/>
          <w:i w:val="false"/>
          <w:color w:val="000000"/>
          <w:sz w:val="22"/>
        </w:rPr>
        <w:t>C. Proper labeling of console;</w:t>
      </w:r>
    </w:p>
    <w:p>
      <w:pPr>
        <w:spacing w:before="0" w:after="0"/>
        <w:ind w:left="120"/>
        <w:jc w:val="both"/>
      </w:pPr>
      <w:r>
        <w:rPr>
          <w:rFonts w:ascii="Times New Roman" w:hAnsi="Times New Roman"/>
          <w:b w:val="false"/>
          <w:i w:val="false"/>
          <w:color w:val="000000"/>
          <w:sz w:val="22"/>
        </w:rPr>
        <w:t>D. Proper console with machine, as appropriate;</w:t>
      </w:r>
    </w:p>
    <w:p>
      <w:pPr>
        <w:spacing w:before="0" w:after="0"/>
        <w:ind w:left="120"/>
        <w:jc w:val="both"/>
      </w:pPr>
      <w:r>
        <w:rPr>
          <w:rFonts w:ascii="Times New Roman" w:hAnsi="Times New Roman"/>
          <w:b w:val="false"/>
          <w:i w:val="false"/>
          <w:color w:val="000000"/>
          <w:sz w:val="22"/>
        </w:rPr>
        <w:t>E. Proper operation of locking mechanism;</w:t>
      </w:r>
    </w:p>
    <w:p>
      <w:pPr>
        <w:spacing w:before="0" w:after="0"/>
        <w:ind w:left="120"/>
        <w:jc w:val="both"/>
      </w:pPr>
      <w:r>
        <w:rPr>
          <w:rFonts w:ascii="Times New Roman" w:hAnsi="Times New Roman"/>
          <w:b w:val="false"/>
          <w:i w:val="false"/>
          <w:color w:val="000000"/>
          <w:sz w:val="22"/>
        </w:rPr>
        <w:t>F. Timer run-down cutoff;</w:t>
      </w:r>
    </w:p>
    <w:p>
      <w:pPr>
        <w:spacing w:before="0" w:after="0"/>
        <w:ind w:left="120"/>
        <w:jc w:val="both"/>
      </w:pPr>
      <w:r>
        <w:rPr>
          <w:rFonts w:ascii="Times New Roman" w:hAnsi="Times New Roman"/>
          <w:b w:val="false"/>
          <w:i w:val="false"/>
          <w:color w:val="000000"/>
          <w:sz w:val="22"/>
        </w:rPr>
        <w:t>G. Damage to tube head housing that might result in excessive radiation levels.</w:t>
      </w:r>
    </w:p>
    <w:p>
      <w:pPr>
        <w:spacing w:before="0" w:after="0"/>
        <w:ind w:left="120"/>
        <w:jc w:val="center"/>
      </w:pPr>
      <w:r>
        <w:rPr>
          <w:rFonts w:ascii="Times New Roman" w:hAnsi="Times New Roman"/>
          <w:b w:val="false"/>
          <w:i w:val="false"/>
          <w:color w:val="000000"/>
          <w:sz w:val="21"/>
        </w:rPr>
        <w:t>[Filed 4/7/80, Notice 2/6/80—published 4/30/80, effective 7/1/80, see 39.18 for exception]</w:t>
      </w:r>
    </w:p>
    <w:p>
      <w:pPr>
        <w:spacing w:before="0" w:after="0"/>
        <w:ind w:left="120"/>
        <w:jc w:val="center"/>
      </w:pPr>
      <w:r>
        <w:rPr>
          <w:rFonts w:ascii="Times New Roman" w:hAnsi="Times New Roman"/>
          <w:b w:val="false"/>
          <w:i w:val="false"/>
          <w:color w:val="000000"/>
          <w:sz w:val="21"/>
        </w:rPr>
        <w:t>[Filed 5/17/85, Notice 2/27/85—published 6/5/85, effective, see rule 39.94]</w:t>
      </w:r>
    </w:p>
    <w:p>
      <w:pPr>
        <w:spacing w:before="0" w:after="0"/>
        <w:ind w:left="120"/>
        <w:jc w:val="center"/>
      </w:pPr>
      <w:r>
        <w:rPr>
          <w:rFonts w:ascii="Times New Roman" w:hAnsi="Times New Roman"/>
          <w:b w:val="false"/>
          <w:i w:val="false"/>
          <w:color w:val="000000"/>
          <w:sz w:val="21"/>
        </w:rPr>
        <w:t>[Filed 11/24/86, Notice 10/8/86—published 12/2/87, effective 1/6/88]</w:t>
      </w:r>
    </w:p>
    <w:p>
      <w:pPr>
        <w:spacing w:before="0" w:after="0"/>
        <w:ind w:left="120"/>
        <w:jc w:val="center"/>
      </w:pPr>
      <w:r>
        <w:rPr>
          <w:rFonts w:ascii="Times New Roman" w:hAnsi="Times New Roman"/>
          <w:b w:val="false"/>
          <w:i w:val="false"/>
          <w:color w:val="000000"/>
          <w:sz w:val="21"/>
        </w:rPr>
        <w:t>[Filed 11/6/87, Notice 9/23/87—published 12/2/87, effective 1/6/88]</w:t>
      </w:r>
    </w:p>
    <w:p>
      <w:pPr>
        <w:spacing w:before="0" w:after="0"/>
        <w:ind w:left="120"/>
        <w:jc w:val="center"/>
      </w:pPr>
      <w:r>
        <w:rPr>
          <w:rFonts w:ascii="Times New Roman" w:hAnsi="Times New Roman"/>
          <w:b w:val="false"/>
          <w:i w:val="false"/>
          <w:color w:val="000000"/>
          <w:sz w:val="21"/>
        </w:rPr>
        <w:t>[Filed emergency 3/15/90 after Notice 1/10/90—published 4/4/90, effective 3/15/90]</w:t>
      </w:r>
    </w:p>
    <w:p>
      <w:pPr>
        <w:spacing w:before="0" w:after="0"/>
        <w:ind w:left="120"/>
        <w:jc w:val="center"/>
      </w:pPr>
      <w:r>
        <w:rPr>
          <w:rFonts w:ascii="Times New Roman" w:hAnsi="Times New Roman"/>
          <w:b w:val="false"/>
          <w:i w:val="false"/>
          <w:color w:val="000000"/>
          <w:sz w:val="21"/>
        </w:rPr>
        <w:t>[Filed 7/16/92, Notice 5/27/92—published 8/5/92, effective 9/9/92]</w:t>
      </w:r>
    </w:p>
    <w:p>
      <w:pPr>
        <w:spacing w:before="0" w:after="0"/>
        <w:ind w:left="120"/>
        <w:jc w:val="center"/>
      </w:pPr>
      <w:r>
        <w:rPr>
          <w:rFonts w:ascii="Times New Roman" w:hAnsi="Times New Roman"/>
          <w:b w:val="false"/>
          <w:i w:val="false"/>
          <w:color w:val="000000"/>
          <w:sz w:val="21"/>
        </w:rPr>
        <w:t>[Filed 7/14/94, Notice 6/8/94—published 8/3/94, effective 9/7/94]</w:t>
      </w:r>
    </w:p>
    <w:p>
      <w:pPr>
        <w:spacing w:before="0" w:after="0"/>
        <w:ind w:left="120"/>
        <w:jc w:val="center"/>
      </w:pPr>
      <w:r>
        <w:rPr>
          <w:rFonts w:ascii="Times New Roman" w:hAnsi="Times New Roman"/>
          <w:b w:val="false"/>
          <w:i w:val="false"/>
          <w:color w:val="000000"/>
          <w:sz w:val="21"/>
        </w:rPr>
        <w:t>[Filed 5/15/95, Notice 3/29/95—published 6/7/95, effective 7/12/95]</w:t>
      </w:r>
    </w:p>
    <w:p>
      <w:pPr>
        <w:spacing w:before="0" w:after="0"/>
        <w:ind w:left="120"/>
        <w:jc w:val="center"/>
      </w:pPr>
      <w:r>
        <w:rPr>
          <w:rFonts w:ascii="Times New Roman" w:hAnsi="Times New Roman"/>
          <w:b w:val="false"/>
          <w:i w:val="false"/>
          <w:color w:val="000000"/>
          <w:sz w:val="21"/>
        </w:rPr>
        <w:t>[Filed 9/16/96, Notice 7/17/96—published 10/9/96, effective 11/16/96]</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3/18/98, Notice 1/14/98—published 4/8/98, effective 7/1/98]</w:t>
      </w:r>
    </w:p>
    <w:p>
      <w:pPr>
        <w:spacing w:before="0" w:after="0"/>
        <w:ind w:left="120"/>
        <w:jc w:val="center"/>
      </w:pPr>
      <w:r>
        <w:rPr>
          <w:rFonts w:ascii="Times New Roman" w:hAnsi="Times New Roman"/>
          <w:b w:val="false"/>
          <w:i w:val="false"/>
          <w:color w:val="000000"/>
          <w:sz w:val="21"/>
        </w:rPr>
        <w:t>[Filed 4/2/99, Notice 1/13/99—published 4/21/99, effective 7/1/99]</w:t>
      </w:r>
    </w:p>
    <w:p>
      <w:pPr>
        <w:spacing w:before="0" w:after="0"/>
        <w:ind w:left="120"/>
        <w:jc w:val="center"/>
      </w:pPr>
      <w:r>
        <w:rPr>
          <w:rFonts w:ascii="Times New Roman" w:hAnsi="Times New Roman"/>
          <w:b w:val="false"/>
          <w:i w:val="false"/>
          <w:color w:val="000000"/>
          <w:sz w:val="21"/>
        </w:rPr>
        <w:t>[Filed 3/15/00, Notice 1/26/00—published 4/5/00, effective 5/10/00]</w:t>
      </w:r>
    </w:p>
    <w:p>
      <w:pPr>
        <w:spacing w:before="0" w:after="0"/>
        <w:ind w:left="120"/>
        <w:jc w:val="center"/>
      </w:pPr>
      <w:r>
        <w:rPr>
          <w:rFonts w:ascii="Times New Roman" w:hAnsi="Times New Roman"/>
          <w:b w:val="false"/>
          <w:i w:val="false"/>
          <w:color w:val="000000"/>
          <w:sz w:val="21"/>
        </w:rPr>
        <w:t>[Filed 3/16/01, Notice 2/7/01—published 4/4/01, effective 5/9/01]</w:t>
      </w:r>
    </w:p>
    <w:p>
      <w:pPr>
        <w:spacing w:before="0" w:after="0"/>
        <w:ind w:left="120"/>
        <w:jc w:val="center"/>
      </w:pPr>
      <w:r>
        <w:rPr>
          <w:rFonts w:ascii="Times New Roman" w:hAnsi="Times New Roman"/>
          <w:b w:val="false"/>
          <w:i w:val="false"/>
          <w:color w:val="000000"/>
          <w:sz w:val="21"/>
        </w:rPr>
        <w:t>[Filed 5/10/01, Notice 4/4/01—published 5/30/01, effective 7/4/01]</w:t>
      </w:r>
    </w:p>
    <w:p>
      <w:pPr>
        <w:spacing w:before="0" w:after="0"/>
        <w:ind w:left="120"/>
        <w:jc w:val="center"/>
      </w:pPr>
      <w:r>
        <w:rPr>
          <w:rFonts w:ascii="Times New Roman" w:hAnsi="Times New Roman"/>
          <w:b w:val="false"/>
          <w:i w:val="false"/>
          <w:color w:val="000000"/>
          <w:sz w:val="21"/>
        </w:rPr>
        <w:t>[Filed 3/14/02, Notice 2/6/02—published 4/3/02, effective 5/8/02]</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3/16/07, Notice 1/31/07—published 4/11/07, effective 5/16/07]</w:t>
      </w:r>
    </w:p>
    <w:p>
      <w:pPr>
        <w:spacing w:before="0" w:after="0"/>
        <w:ind w:left="120"/>
        <w:jc w:val="center"/>
      </w:pPr>
      <w:r>
        <w:rPr>
          <w:rFonts w:ascii="Times New Roman" w:hAnsi="Times New Roman"/>
          <w:b w:val="false"/>
          <w:i w:val="false"/>
          <w:color w:val="000000"/>
          <w:sz w:val="21"/>
        </w:rPr>
        <w:t>[Filed 7/13/07, Notice 6/6/07—published 8/1/07, effective 9/5/07]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7983B</w:t>
      </w:r>
      <w:r>
        <w:rPr>
          <w:rFonts w:ascii="Times New Roman" w:hAnsi="Times New Roman"/>
          <w:b w:val="false"/>
          <w:i w:val="false"/>
          <w:color w:val="000000"/>
          <w:sz w:val="21"/>
        </w:rPr>
        <w:t xml:space="preserve"> (Notice ARC 7792B, IAB 5/20/09)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8982B</w:t>
      </w:r>
      <w:r>
        <w:rPr>
          <w:rFonts w:ascii="Times New Roman" w:hAnsi="Times New Roman"/>
          <w:b w:val="false"/>
          <w:i w:val="false"/>
          <w:color w:val="000000"/>
          <w:sz w:val="21"/>
        </w:rPr>
        <w:t xml:space="preserve"> (Notice ARC 8762B, IAB 5/19/10)</w:t>
      </w:r>
      <w:r>
        <w:rPr>
          <w:rFonts w:ascii="Times New Roman" w:hAnsi="Times New Roman"/>
          <w:b w:val="false"/>
          <w:i w:val="false"/>
          <w:color w:val="000000"/>
          <w:sz w:val="21"/>
        </w:rPr>
        <w:t>, IAB 8/11/10, effective 9/15/10]</w:t>
      </w:r>
    </w:p>
    <w:p>
      <w:pPr>
        <w:spacing w:before="0" w:after="0"/>
        <w:ind w:left="120"/>
        <w:jc w:val="center"/>
      </w:pPr>
      <w:r>
        <w:rPr>
          <w:rFonts w:ascii="Times New Roman" w:hAnsi="Times New Roman"/>
          <w:b w:val="false"/>
          <w:i w:val="false"/>
          <w:color w:val="000000"/>
          <w:sz w:val="21"/>
        </w:rPr>
        <w:t>[Filed ARC 1479C</w:t>
      </w:r>
      <w:r>
        <w:rPr>
          <w:rFonts w:ascii="Times New Roman" w:hAnsi="Times New Roman"/>
          <w:b w:val="false"/>
          <w:i w:val="false"/>
          <w:color w:val="000000"/>
          <w:sz w:val="21"/>
        </w:rPr>
        <w:t xml:space="preserve"> (Notice ARC 1414C,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1639C</w:t>
      </w:r>
      <w:r>
        <w:rPr>
          <w:rFonts w:ascii="Times New Roman" w:hAnsi="Times New Roman"/>
          <w:b w:val="false"/>
          <w:i w:val="false"/>
          <w:color w:val="000000"/>
          <w:sz w:val="21"/>
        </w:rPr>
        <w:t xml:space="preserve"> (Notice ARC 1470C, IAB 5/28/14)</w:t>
      </w:r>
      <w:r>
        <w:rPr>
          <w:rFonts w:ascii="Times New Roman" w:hAnsi="Times New Roman"/>
          <w:b w:val="false"/>
          <w:i w:val="false"/>
          <w:color w:val="000000"/>
          <w:sz w:val="21"/>
        </w:rPr>
        <w:t>, IAB 10/1/14, effective 11/5/14]</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0179D</w:t>
      </w:r>
      <w:r>
        <w:rPr>
          <w:rFonts w:ascii="Times New Roman" w:hAnsi="Times New Roman"/>
          <w:b w:val="false"/>
          <w:i w:val="false"/>
          <w:color w:val="000000"/>
          <w:sz w:val="21"/>
        </w:rPr>
        <w:t xml:space="preserve"> (Notice ARC 9754C, IAB 11/26/25)</w:t>
      </w:r>
      <w:r>
        <w:rPr>
          <w:rFonts w:ascii="Times New Roman" w:hAnsi="Times New Roman"/>
          <w:b w:val="false"/>
          <w:i w:val="false"/>
          <w:color w:val="000000"/>
          <w:sz w:val="21"/>
        </w:rPr>
        <w:t>, IAB 4/1/26, effective 7/1/26]</w:t>
      </w:r>
    </w:p>
    <w:sectPr>
      <w:footerReference r:id="rId12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37.pdf" Type="http://schemas.openxmlformats.org/officeDocument/2006/relationships/hyperlink" Id="rId5"/>
    <Relationship TargetMode="External" Target="https://www.legis.iowa.gov/docs/iac/chapter/641.38.pdf" Type="http://schemas.openxmlformats.org/officeDocument/2006/relationships/hyperlink" Id="rId6"/>
    <Relationship TargetMode="External" Target="https://www.legis.iowa.gov/docs/iac/chapter/641.40.pdf" Type="http://schemas.openxmlformats.org/officeDocument/2006/relationships/hyperlink" Id="rId7"/>
    <Relationship TargetMode="External" Target="https://www.legis.iowa.gov/docs/iac/chapter/641.42.pdf" Type="http://schemas.openxmlformats.org/officeDocument/2006/relationships/hyperlink" Id="rId8"/>
    <Relationship TargetMode="External" Target="https://www.legis.iowa.gov/docs/iac/chapter/641.37.pdf" Type="http://schemas.openxmlformats.org/officeDocument/2006/relationships/hyperlink" Id="rId9"/>
    <Relationship TargetMode="External" Target="https://www.legis.iowa.gov/docs/iac/chapter/641.38.pdf" Type="http://schemas.openxmlformats.org/officeDocument/2006/relationships/hyperlink" Id="rId10"/>
    <Relationship TargetMode="External" Target="https://www.legis.iowa.gov/docs/iac/chapter/641.40.pdf" Type="http://schemas.openxmlformats.org/officeDocument/2006/relationships/hyperlink" Id="rId11"/>
    <Relationship TargetMode="External" Target="https://www.legis.iowa.gov/docs/iac/chapter/641.42.pdf" Type="http://schemas.openxmlformats.org/officeDocument/2006/relationships/hyperlink" Id="rId12"/>
    <Relationship TargetMode="External" Target="https://www.legis.iowa.gov/docs/iac/rule/641.39.10.pdf" Type="http://schemas.openxmlformats.org/officeDocument/2006/relationships/hyperlink" Id="rId13"/>
    <Relationship TargetMode="External" Target="https://www.legis.iowa.gov/docs/iac/rule/641.39.10.pdf" Type="http://schemas.openxmlformats.org/officeDocument/2006/relationships/hyperlink" Id="rId14"/>
    <Relationship TargetMode="External" Target="https://www.legis.iowa.gov/docs/iac/rule/641.39.10.pdf" Type="http://schemas.openxmlformats.org/officeDocument/2006/relationships/hyperlink" Id="rId15"/>
    <Relationship TargetMode="External" Target="https://www.legis.iowa.gov/docs/iac/rule/641.39.10.pdf" Type="http://schemas.openxmlformats.org/officeDocument/2006/relationships/hyperlink" Id="rId16"/>
    <Relationship TargetMode="External" Target="https://www.legis.iowa.gov/docs/iac/rule/641.37.11.pdf" Type="http://schemas.openxmlformats.org/officeDocument/2006/relationships/hyperlink" Id="rId17"/>
    <Relationship TargetMode="External" Target="https://www.legis.iowa.gov/docs/iac/chapter/641.37.pdf" Type="http://schemas.openxmlformats.org/officeDocument/2006/relationships/hyperlink" Id="rId18"/>
    <Relationship TargetMode="External" Target="https://www.legis.iowa.gov/docs/iac/chapter/641.38.pdf" Type="http://schemas.openxmlformats.org/officeDocument/2006/relationships/hyperlink" Id="rId19"/>
    <Relationship TargetMode="External" Target="https://www.legis.iowa.gov/docs/iac/chapter/641.40.pdf" Type="http://schemas.openxmlformats.org/officeDocument/2006/relationships/hyperlink" Id="rId20"/>
    <Relationship TargetMode="External" Target="https://www.legis.iowa.gov/docs/iac/chapter/641.42.pdf" Type="http://schemas.openxmlformats.org/officeDocument/2006/relationships/hyperlink" Id="rId21"/>
    <Relationship TargetMode="External" Target="https://www.legis.iowa.gov/docs/iac/rule/641.37.2.pdf" Type="http://schemas.openxmlformats.org/officeDocument/2006/relationships/hyperlink" Id="rId22"/>
    <Relationship TargetMode="External" Target="https://www.legis.iowa.gov/docs/ico/chapter/136C.pdf" Type="http://schemas.openxmlformats.org/officeDocument/2006/relationships/hyperlink" Id="rId23"/>
    <Relationship TargetMode="External" Target="https://www.legis.iowa.gov/docs/ico/chapter/136C.pdf" Type="http://schemas.openxmlformats.org/officeDocument/2006/relationships/hyperlink" Id="rId24"/>
    <Relationship TargetMode="External" Target="https://www.legis.iowa.gov/docs/ico/chapter/136C.pdf" Type="http://schemas.openxmlformats.org/officeDocument/2006/relationships/hyperlink" Id="rId25"/>
    <Relationship TargetMode="External" Target="https://www.legis.iowa.gov/docs/ico/chapter/136C.pdf" Type="http://schemas.openxmlformats.org/officeDocument/2006/relationships/hyperlink" Id="rId26"/>
    <Relationship TargetMode="External" Target="https://www.legis.iowa.gov/docs/ico/chapter/136C.pdf" Type="http://schemas.openxmlformats.org/officeDocument/2006/relationships/hyperlink" Id="rId27"/>
    <Relationship TargetMode="External" Target="https://www.legis.iowa.gov/docs/ico/chapter/22.pdf" Type="http://schemas.openxmlformats.org/officeDocument/2006/relationships/hyperlink" Id="rId28"/>
    <Relationship TargetMode="External" Target="mailto:Forms.Resource@nrc.gov" Type="http://schemas.openxmlformats.org/officeDocument/2006/relationships/hyperlink" Id="rId29"/>
    <Relationship TargetMode="External" Target="https://www.legis.iowa.gov/docs/ico/chapter/136C.pdf" Type="http://schemas.openxmlformats.org/officeDocument/2006/relationships/hyperlink" Id="rId30"/>
    <Relationship TargetMode="External" Target="https://www.legis.iowa.gov/docs/ico/chapter/136C.pdf" Type="http://schemas.openxmlformats.org/officeDocument/2006/relationships/hyperlink" Id="rId31"/>
    <Relationship TargetMode="External" Target="https://www.legis.iowa.gov/docs/ico/chapter/136C.pdf" Type="http://schemas.openxmlformats.org/officeDocument/2006/relationships/hyperlink" Id="rId32"/>
    <Relationship TargetMode="External" Target="https://www.legis.iowa.gov/docs/ico/chapter/136C.pdf" Type="http://schemas.openxmlformats.org/officeDocument/2006/relationships/hyperlink" Id="rId33"/>
    <Relationship TargetMode="External" Target="https://www.legis.iowa.gov/docs/iac/rule/641.37.9.pdf" Type="http://schemas.openxmlformats.org/officeDocument/2006/relationships/hyperlink" Id="rId34"/>
    <Relationship TargetMode="External" Target="https://www.legis.iowa.gov/docs/iac/rule/641.37.9.pdf" Type="http://schemas.openxmlformats.org/officeDocument/2006/relationships/hyperlink" Id="rId35"/>
    <Relationship TargetMode="External" Target="https://www.legis.iowa.gov/docs/iac/rule/641.37.9.pdf" Type="http://schemas.openxmlformats.org/officeDocument/2006/relationships/hyperlink" Id="rId36"/>
    <Relationship TargetMode="External" Target="https://www.legis.iowa.gov/docs/iac/rule/641.37.9.pdf" Type="http://schemas.openxmlformats.org/officeDocument/2006/relationships/hyperlink" Id="rId37"/>
    <Relationship TargetMode="External" Target="https://www.legis.iowa.gov/docs/iac/rule/641.39.6.pdf" Type="http://schemas.openxmlformats.org/officeDocument/2006/relationships/hyperlink" Id="rId38"/>
    <Relationship TargetMode="External" Target="https://www.legis.iowa.gov/docs/iac/rule/641.39.6.pdf" Type="http://schemas.openxmlformats.org/officeDocument/2006/relationships/hyperlink" Id="rId39"/>
    <Relationship TargetMode="External" Target="https://www.legis.iowa.gov/docs/iac/rule/641.39.6.pdf" Type="http://schemas.openxmlformats.org/officeDocument/2006/relationships/hyperlink" Id="rId40"/>
    <Relationship TargetMode="External" Target="https://www.legis.iowa.gov/docs/iac/rule/641.37.8.pdf" Type="http://schemas.openxmlformats.org/officeDocument/2006/relationships/hyperlink" Id="rId41"/>
    <Relationship TargetMode="External" Target="https://www.legis.iowa.gov/docs/iac/rule/641.37.8.pdf" Type="http://schemas.openxmlformats.org/officeDocument/2006/relationships/hyperlink" Id="rId42"/>
    <Relationship TargetMode="External" Target="https://www.legis.iowa.gov/docs/iac/rule/641.37.10.pdf" Type="http://schemas.openxmlformats.org/officeDocument/2006/relationships/hyperlink" Id="rId43"/>
    <Relationship TargetMode="External" Target="https://www.legis.iowa.gov/docs/iac/rule/641.37.9.pdf" Type="http://schemas.openxmlformats.org/officeDocument/2006/relationships/hyperlink" Id="rId44"/>
    <Relationship TargetMode="External" Target="https://www.legis.iowa.gov/docs/iac/rule/641.39.6.pdf" Type="http://schemas.openxmlformats.org/officeDocument/2006/relationships/hyperlink" Id="rId45"/>
    <Relationship TargetMode="External" Target="https://www.legis.iowa.gov/docs/iac/rule/641.39.6.pdf" Type="http://schemas.openxmlformats.org/officeDocument/2006/relationships/hyperlink" Id="rId46"/>
    <Relationship TargetMode="External" Target="https://www.legis.iowa.gov/docs/iac/rule/641.39.6.pdf" Type="http://schemas.openxmlformats.org/officeDocument/2006/relationships/hyperlink" Id="rId47"/>
    <Relationship TargetMode="External" Target="https://www.legis.iowa.gov/docs/iac/rule/641.39.6.pdf" Type="http://schemas.openxmlformats.org/officeDocument/2006/relationships/hyperlink" Id="rId48"/>
    <Relationship TargetMode="External" Target="https://www.legis.iowa.gov/docs/iac/rule/641.37.9.pdf" Type="http://schemas.openxmlformats.org/officeDocument/2006/relationships/hyperlink" Id="rId49"/>
    <Relationship TargetMode="External" Target="https://www.legis.iowa.gov/docs/iac/rule/641.37.9.pdf" Type="http://schemas.openxmlformats.org/officeDocument/2006/relationships/hyperlink" Id="rId50"/>
    <Relationship TargetMode="External" Target="https://www.legis.iowa.gov/docs/iac/rule/641.37.9.pdf" Type="http://schemas.openxmlformats.org/officeDocument/2006/relationships/hyperlink" Id="rId51"/>
    <Relationship TargetMode="External" Target="https://www.legis.iowa.gov/docs/iac/chapter/641.37.pdf" Type="http://schemas.openxmlformats.org/officeDocument/2006/relationships/hyperlink" Id="rId52"/>
    <Relationship TargetMode="External" Target="https://www.legis.iowa.gov/docs/iac/rule/641.39.10.pdf" Type="http://schemas.openxmlformats.org/officeDocument/2006/relationships/hyperlink" Id="rId53"/>
    <Relationship TargetMode="External" Target="https://www.legis.iowa.gov/docs/iac/rule/641.37.3.pdf" Type="http://schemas.openxmlformats.org/officeDocument/2006/relationships/hyperlink" Id="rId54"/>
    <Relationship TargetMode="External" Target="https://www.legis.iowa.gov/docs/iac/rule/641.37.11.pdf" Type="http://schemas.openxmlformats.org/officeDocument/2006/relationships/hyperlink" Id="rId55"/>
    <Relationship TargetMode="External" Target="https://www.legis.iowa.gov/docs/iac/rule/641.37.11.pdf" Type="http://schemas.openxmlformats.org/officeDocument/2006/relationships/hyperlink" Id="rId56"/>
    <Relationship TargetMode="External" Target="https://www.legis.iowa.gov/docs/iac/rule/641.37.11.pdf" Type="http://schemas.openxmlformats.org/officeDocument/2006/relationships/hyperlink" Id="rId57"/>
    <Relationship TargetMode="External" Target="https://www.legis.iowa.gov/docs/iac/chapter/641.37.pdf" Type="http://schemas.openxmlformats.org/officeDocument/2006/relationships/hyperlink" Id="rId58"/>
    <Relationship TargetMode="External" Target="https://www.legis.iowa.gov/docs/iac/rule/641.39.10.pdf" Type="http://schemas.openxmlformats.org/officeDocument/2006/relationships/hyperlink" Id="rId59"/>
    <Relationship TargetMode="External" Target="https://www.legis.iowa.gov/docs/iac/rule/641.39.10.pdf" Type="http://schemas.openxmlformats.org/officeDocument/2006/relationships/hyperlink" Id="rId60"/>
    <Relationship TargetMode="External" Target="https://www.legis.iowa.gov/docs/iac/rule/641.39.10.pdf" Type="http://schemas.openxmlformats.org/officeDocument/2006/relationships/hyperlink" Id="rId61"/>
    <Relationship TargetMode="External" Target="https://www.legis.iowa.gov/docs/iac/rule/641.37.2.pdf" Type="http://schemas.openxmlformats.org/officeDocument/2006/relationships/hyperlink" Id="rId62"/>
    <Relationship TargetMode="External" Target="https://www.legis.iowa.gov/docs/iac/rule/641.39.10.pdf" Type="http://schemas.openxmlformats.org/officeDocument/2006/relationships/hyperlink" Id="rId63"/>
    <Relationship TargetMode="External" Target="https://www.legis.iowa.gov/docs/iac/rule/641.37.11.pdf" Type="http://schemas.openxmlformats.org/officeDocument/2006/relationships/hyperlink" Id="rId64"/>
    <Relationship TargetMode="External" Target="https://www.legis.iowa.gov/docs/iac/rule/641.39.10.pdf" Type="http://schemas.openxmlformats.org/officeDocument/2006/relationships/hyperlink" Id="rId65"/>
    <Relationship TargetMode="External" Target="https://www.legis.iowa.gov/docs/iac/rule/641.39.10.pdf" Type="http://schemas.openxmlformats.org/officeDocument/2006/relationships/hyperlink" Id="rId66"/>
    <Relationship TargetMode="External" Target="https://www.legis.iowa.gov/docs/iac/rule/641.39.10.pdf" Type="http://schemas.openxmlformats.org/officeDocument/2006/relationships/hyperlink" Id="rId67"/>
    <Relationship TargetMode="External" Target="https://www.legis.iowa.gov/docs/iac/rule/641.37.11.pdf" Type="http://schemas.openxmlformats.org/officeDocument/2006/relationships/hyperlink" Id="rId68"/>
    <Relationship TargetMode="External" Target="https://www.legis.iowa.gov/docs/iac/rule/641.39.10.pdf" Type="http://schemas.openxmlformats.org/officeDocument/2006/relationships/hyperlink" Id="rId69"/>
    <Relationship TargetMode="External" Target="https://www.legis.iowa.gov/docs/iac/rule/641.37.11.pdf" Type="http://schemas.openxmlformats.org/officeDocument/2006/relationships/hyperlink" Id="rId70"/>
    <Relationship TargetMode="External" Target="https://www.legis.iowa.gov/docs/iac/rule/641.37.11.pdf" Type="http://schemas.openxmlformats.org/officeDocument/2006/relationships/hyperlink" Id="rId71"/>
    <Relationship TargetMode="External" Target="https://www.legis.iowa.gov/docs/iac/rule/641.37.11.pdf" Type="http://schemas.openxmlformats.org/officeDocument/2006/relationships/hyperlink" Id="rId72"/>
    <Relationship TargetMode="External" Target="https://www.legis.iowa.gov/docs/iac/rule/641.39.10.pdf" Type="http://schemas.openxmlformats.org/officeDocument/2006/relationships/hyperlink" Id="rId73"/>
    <Relationship TargetMode="External" Target="https://www.legis.iowa.gov/docs/iac/rule/641.37.11.pdf" Type="http://schemas.openxmlformats.org/officeDocument/2006/relationships/hyperlink" Id="rId74"/>
    <Relationship TargetMode="External" Target="https://www.legis.iowa.gov/docs/iac/rule/641.37.11.pdf" Type="http://schemas.openxmlformats.org/officeDocument/2006/relationships/hyperlink" Id="rId75"/>
    <Relationship TargetMode="External" Target="https://www.legis.iowa.gov/docs/iac/rule/641.39.10.pdf" Type="http://schemas.openxmlformats.org/officeDocument/2006/relationships/hyperlink" Id="rId76"/>
    <Relationship TargetMode="External" Target="https://www.legis.iowa.gov/docs/iac/rule/641.37.13.pdf" Type="http://schemas.openxmlformats.org/officeDocument/2006/relationships/hyperlink" Id="rId77"/>
    <Relationship TargetMode="External" Target="https://www.legis.iowa.gov/docs/iac/rule/641.37.13.pdf" Type="http://schemas.openxmlformats.org/officeDocument/2006/relationships/hyperlink" Id="rId78"/>
    <Relationship TargetMode="External" Target="https://www.legis.iowa.gov/docs/iac/chapter/641.37.pdf" Type="http://schemas.openxmlformats.org/officeDocument/2006/relationships/hyperlink" Id="rId79"/>
    <Relationship TargetMode="External" Target="https://www.legis.iowa.gov/docs/iac/rule/641.39.10.pdf" Type="http://schemas.openxmlformats.org/officeDocument/2006/relationships/hyperlink" Id="rId80"/>
    <Relationship TargetMode="External" Target="https://www.legis.iowa.gov/docs/iac/rule/641.39.10.pdf" Type="http://schemas.openxmlformats.org/officeDocument/2006/relationships/hyperlink" Id="rId81"/>
    <Relationship TargetMode="External" Target="https://www.legis.iowa.gov/docs/iac/rule/641.39.10.pdf" Type="http://schemas.openxmlformats.org/officeDocument/2006/relationships/hyperlink" Id="rId82"/>
    <Relationship TargetMode="External" Target="https://www.legis.iowa.gov/docs/iac/rule/641.37.11.pdf" Type="http://schemas.openxmlformats.org/officeDocument/2006/relationships/hyperlink" Id="rId83"/>
    <Relationship TargetMode="External" Target="https://www.legis.iowa.gov/docs/iac/rule/641.39.10.pdf" Type="http://schemas.openxmlformats.org/officeDocument/2006/relationships/hyperlink" Id="rId84"/>
    <Relationship TargetMode="External" Target="https://www.legis.iowa.gov/docs/iac/rule/641.37.11.pdf" Type="http://schemas.openxmlformats.org/officeDocument/2006/relationships/hyperlink" Id="rId85"/>
    <Relationship TargetMode="External" Target="https://www.legis.iowa.gov/docs/iac/rule/641.37.11.pdf" Type="http://schemas.openxmlformats.org/officeDocument/2006/relationships/hyperlink" Id="rId86"/>
    <Relationship TargetMode="External" Target="https://www.legis.iowa.gov/docs/iac/rule/641.37.11.pdf" Type="http://schemas.openxmlformats.org/officeDocument/2006/relationships/hyperlink" Id="rId87"/>
    <Relationship TargetMode="External" Target="https://www.legis.iowa.gov/docs/iac/rule/641.37.11.pdf" Type="http://schemas.openxmlformats.org/officeDocument/2006/relationships/hyperlink" Id="rId88"/>
    <Relationship TargetMode="External" Target="https://www.legis.iowa.gov/docs/iac/rule/641.37.3.pdf" Type="http://schemas.openxmlformats.org/officeDocument/2006/relationships/hyperlink" Id="rId89"/>
    <Relationship TargetMode="External" Target="https://www.legis.iowa.gov/docs/iac/rule/641.37.8.pdf" Type="http://schemas.openxmlformats.org/officeDocument/2006/relationships/hyperlink" Id="rId90"/>
    <Relationship TargetMode="External" Target="https://www.legis.iowa.gov/docs/iac/rule/641.37.8.pdf" Type="http://schemas.openxmlformats.org/officeDocument/2006/relationships/hyperlink" Id="rId91"/>
    <Relationship TargetMode="External" Target="https://www.legis.iowa.gov/docs/iac/rule/641.37.8.pdf" Type="http://schemas.openxmlformats.org/officeDocument/2006/relationships/hyperlink" Id="rId92"/>
    <Relationship TargetMode="External" Target="https://www.legis.iowa.gov/docs/iac/rule/641.37.8.pdf" Type="http://schemas.openxmlformats.org/officeDocument/2006/relationships/hyperlink" Id="rId93"/>
    <Relationship TargetMode="External" Target="https://www.legis.iowa.gov/docs/iac/rule/641.37.9.pdf" Type="http://schemas.openxmlformats.org/officeDocument/2006/relationships/hyperlink" Id="rId94"/>
    <Relationship TargetMode="External" Target="https://www.legis.iowa.gov/docs/iac/rule/641.37.9.pdf" Type="http://schemas.openxmlformats.org/officeDocument/2006/relationships/hyperlink" Id="rId95"/>
    <Relationship TargetMode="External" Target="mailto:RAMQC_SHIPMENTS@nrc.gov" Type="http://schemas.openxmlformats.org/officeDocument/2006/relationships/hyperlink" Id="rId96"/>
    <Relationship TargetMode="External" Target="https://www.legis.iowa.gov/docs/iac/rule/641.37.9.pdf" Type="http://schemas.openxmlformats.org/officeDocument/2006/relationships/hyperlink" Id="rId97"/>
    <Relationship TargetMode="External" Target="https://www.legis.iowa.gov/docs/ico/chapter/136C.pdf" Type="http://schemas.openxmlformats.org/officeDocument/2006/relationships/hyperlink" Id="rId98"/>
    <Relationship TargetMode="External" Target="https://www.legis.iowa.gov/docs/iac/rule/641.37.9.pdf" Type="http://schemas.openxmlformats.org/officeDocument/2006/relationships/hyperlink" Id="rId99"/>
    <Relationship TargetMode="External" Target="https://www.legis.iowa.gov/docs/ico/chapter/136C.pdf" Type="http://schemas.openxmlformats.org/officeDocument/2006/relationships/hyperlink" Id="rId100"/>
    <Relationship TargetMode="External" Target="https://www.legis.iowa.gov/docs/ico/chapter/136C.pdf" Type="http://schemas.openxmlformats.org/officeDocument/2006/relationships/hyperlink" Id="rId101"/>
    <Relationship TargetMode="External" Target="https://www.legis.iowa.gov/docs/iac/rule/641.37.9.pdf" Type="http://schemas.openxmlformats.org/officeDocument/2006/relationships/hyperlink" Id="rId102"/>
    <Relationship TargetMode="External" Target="https://www.legis.iowa.gov/docs/ico/chapter/136C.pdf" Type="http://schemas.openxmlformats.org/officeDocument/2006/relationships/hyperlink" Id="rId103"/>
    <Relationship TargetMode="External" Target="https://www.legis.iowa.gov/docs/ico/chapter/136C.pdf" Type="http://schemas.openxmlformats.org/officeDocument/2006/relationships/hyperlink" Id="rId104"/>
    <Relationship TargetMode="External" Target="https://www.legis.iowa.gov/docs/iac/rule/641.39.10.pdf" Type="http://schemas.openxmlformats.org/officeDocument/2006/relationships/hyperlink" Id="rId105"/>
    <Relationship TargetMode="External" Target="https://www.legis.iowa.gov/docs/iac/chapter/641.37.pdf" Type="http://schemas.openxmlformats.org/officeDocument/2006/relationships/hyperlink" Id="rId106"/>
    <Relationship TargetMode="External" Target="https://www.legis.iowa.gov/docs/iac/rule/641.39.10.pdf" Type="http://schemas.openxmlformats.org/officeDocument/2006/relationships/hyperlink" Id="rId107"/>
    <Relationship TargetMode="External" Target="https://www.legis.iowa.gov/docs/iac/rule/641.39.10.pdf" Type="http://schemas.openxmlformats.org/officeDocument/2006/relationships/hyperlink" Id="rId108"/>
    <Relationship TargetMode="External" Target="https://www.legis.iowa.gov/docs/iac/rule/641.39.10.pdf" Type="http://schemas.openxmlformats.org/officeDocument/2006/relationships/hyperlink" Id="rId109"/>
    <Relationship TargetMode="External" Target="https://www.legis.iowa.gov/docs/iac/rule/641.39.10.pdf" Type="http://schemas.openxmlformats.org/officeDocument/2006/relationships/hyperlink" Id="rId110"/>
    <Relationship TargetMode="External" Target="https://www.legis.iowa.gov/docs/iac/rule/641.39.10.pdf" Type="http://schemas.openxmlformats.org/officeDocument/2006/relationships/hyperlink" Id="rId111"/>
    <Relationship TargetMode="External" Target="https://www.legis.iowa.gov/docs/iac/rule/641.39.10.pdf" Type="http://schemas.openxmlformats.org/officeDocument/2006/relationships/hyperlink" Id="rId112"/>
    <Relationship TargetMode="External" Target="https://www.legis.iowa.gov/docs/iac/rule/641.39.10.pdf" Type="http://schemas.openxmlformats.org/officeDocument/2006/relationships/hyperlink" Id="rId113"/>
    <Relationship TargetMode="External" Target="https://www.legis.iowa.gov/docs/iac/rule/641.39.10.pdf" Type="http://schemas.openxmlformats.org/officeDocument/2006/relationships/hyperlink" Id="rId114"/>
    <Relationship TargetMode="External" Target="https://www.legis.iowa.gov/docs/iac/rule/641.39.10.pdf" Type="http://schemas.openxmlformats.org/officeDocument/2006/relationships/hyperlink" Id="rId115"/>
    <Relationship TargetMode="External" Target="https://www.legis.iowa.gov/docs/iac/rule/641.39.10.pdf" Type="http://schemas.openxmlformats.org/officeDocument/2006/relationships/hyperlink" Id="rId116"/>
    <Relationship TargetMode="External" Target="https://www.legis.iowa.gov/docs/iac/rule/641.39.10.pdf" Type="http://schemas.openxmlformats.org/officeDocument/2006/relationships/hyperlink" Id="rId117"/>
    <Relationship TargetMode="External" Target="https://www.legis.iowa.gov/docs/iac/rule/641.39.10.pdf" Type="http://schemas.openxmlformats.org/officeDocument/2006/relationships/hyperlink" Id="rId118"/>
    <Relationship TargetMode="External" Target="https://www.legis.iowa.gov/docs/iac/rule/641.39.10.pdf" Type="http://schemas.openxmlformats.org/officeDocument/2006/relationships/hyperlink" Id="rId119"/>
    <Relationship TargetMode="External" Target="https://www.legis.iowa.gov/docs/iac/rule/641.39.10.pdf" Type="http://schemas.openxmlformats.org/officeDocument/2006/relationships/hyperlink" Id="rId120"/>
    <Relationship TargetMode="External" Target="https://www.legis.iowa.gov/docs/iac/rule/641.39.10.pdf" Type="http://schemas.openxmlformats.org/officeDocument/2006/relationships/hyperlink" Id="rId121"/>
    <Relationship TargetMode="External" Target="https://www.legis.iowa.gov/docs/iac/rule/641.39.6.pdf" Type="http://schemas.openxmlformats.org/officeDocument/2006/relationships/hyperlink" Id="rId122"/>
    <Relationship TargetMode="External" Target="https://www.legis.iowa.gov/docs/iac/rule/641.39.6.pdf" Type="http://schemas.openxmlformats.org/officeDocument/2006/relationships/hyperlink" Id="rId123"/>
    <Relationship Target="footer.xml" Type="http://schemas.openxmlformats.org/officeDocument/2006/relationships/footer" Id="rId12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