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 xml:space="preserve">PERMITS TO OPERATE IONIZING RADIATION PRODUCING MACHINES OR </w:t>
      </w:r>
      <w:r>
        <w:br/>
      </w:r>
      <w:r>
        <w:rPr>
          <w:rFonts w:ascii="Times New Roman" w:hAnsi="Times New Roman"/>
          <w:b w:val="false"/>
          <w:i w:val="false"/>
          <w:color w:val="000000"/>
          <w:sz w:val="21"/>
        </w:rPr>
        <w:t>ADMINISTER RADIOACTIVE MATERIALS FOR MEDICAL IMAGING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641—38.1</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“ARRT”</w:t>
      </w:r>
      <w:r>
        <w:rPr>
          <w:rFonts w:ascii="Times New Roman" w:hAnsi="Times New Roman"/>
          <w:b w:val="false"/>
          <w:i w:val="false"/>
          <w:color w:val="000000"/>
          <w:sz w:val="22"/>
        </w:rPr>
        <w:t> </w:t>
      </w:r>
      <w:r>
        <w:rPr>
          <w:rFonts w:ascii="Times New Roman" w:hAnsi="Times New Roman"/>
          <w:b w:val="false"/>
          <w:i w:val="false"/>
          <w:color w:val="000000"/>
          <w:sz w:val="22"/>
        </w:rPr>
        <w:t>means the American Registry of Radiologic Technologists.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“Attenuation correction”</w:t>
      </w:r>
      <w:r>
        <w:rPr>
          <w:rFonts w:ascii="Times New Roman" w:hAnsi="Times New Roman"/>
          <w:b w:val="false"/>
          <w:i w:val="false"/>
          <w:color w:val="000000"/>
          <w:sz w:val="22"/>
        </w:rPr>
        <w:t> </w:t>
      </w:r>
      <w:r>
        <w:rPr>
          <w:rFonts w:ascii="Times New Roman" w:hAnsi="Times New Roman"/>
          <w:b w:val="false"/>
          <w:i w:val="false"/>
          <w:color w:val="000000"/>
          <w:sz w:val="22"/>
        </w:rPr>
        <w:t>means the use of X-rays from a CT scan to construct an attenuation map of density differences throughout the body that can then be used to correct for the absorption of the photons emitted from Fludeoxyglucose (</w:t>
      </w:r>
      <w:r>
        <w:rPr>
          <w:rFonts w:ascii="Times New Roman" w:hAnsi="Times New Roman"/>
          <w:b w:val="false"/>
          <w:i w:val="false"/>
          <w:color w:val="000000"/>
          <w:sz w:val="18"/>
          <w:vertAlign w:val="superscript"/>
        </w:rPr>
        <w:t>18</w:t>
      </w:r>
      <w:r>
        <w:rPr>
          <w:rFonts w:ascii="Times New Roman" w:hAnsi="Times New Roman"/>
          <w:b w:val="false"/>
          <w:i w:val="false"/>
          <w:color w:val="000000"/>
          <w:sz w:val="22"/>
        </w:rPr>
        <w:t>F) decay during a PET/CT scan.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user”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Iowa-licensed physician identified on a specific radioactive materials license or a license of broad scope pursuant to </w:t>
      </w:r>
      <w:hyperlink r:id="rId5">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“Category”</w:t>
      </w:r>
      <w:r>
        <w:rPr>
          <w:rFonts w:ascii="Times New Roman" w:hAnsi="Times New Roman"/>
          <w:b w:val="false"/>
          <w:i w:val="false"/>
          <w:color w:val="000000"/>
          <w:sz w:val="22"/>
        </w:rPr>
        <w:t> </w:t>
      </w:r>
      <w:r>
        <w:rPr>
          <w:rFonts w:ascii="Times New Roman" w:hAnsi="Times New Roman"/>
          <w:b w:val="false"/>
          <w:i w:val="false"/>
          <w:color w:val="000000"/>
          <w:sz w:val="22"/>
        </w:rPr>
        <w:t>defines specific duties allowed in the limited radiologic technologist permit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“Classification”</w:t>
      </w:r>
      <w:r>
        <w:rPr>
          <w:rFonts w:ascii="Times New Roman" w:hAnsi="Times New Roman"/>
          <w:b w:val="false"/>
          <w:i w:val="false"/>
          <w:color w:val="000000"/>
          <w:sz w:val="22"/>
        </w:rPr>
        <w:t> </w:t>
      </w:r>
      <w:r>
        <w:rPr>
          <w:rFonts w:ascii="Times New Roman" w:hAnsi="Times New Roman"/>
          <w:b w:val="false"/>
          <w:i w:val="false"/>
          <w:color w:val="000000"/>
          <w:sz w:val="22"/>
        </w:rPr>
        <w:t>means a specific class of permit that allows the permit holder to perform the duties specified for that permit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 activity”</w:t>
      </w:r>
      <w:r>
        <w:rPr>
          <w:rFonts w:ascii="Times New Roman" w:hAnsi="Times New Roman"/>
          <w:b w:val="false"/>
          <w:i w:val="false"/>
          <w:color w:val="000000"/>
          <w:sz w:val="22"/>
        </w:rPr>
        <w:t> </w:t>
      </w:r>
      <w:r>
        <w:rPr>
          <w:rFonts w:ascii="Times New Roman" w:hAnsi="Times New Roman"/>
          <w:b w:val="false"/>
          <w:i w:val="false"/>
          <w:color w:val="000000"/>
          <w:sz w:val="22"/>
        </w:rPr>
        <w:t>means a learning activity that is recognized as continuing education by the ARRT or NMTCB.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“Diagnostic computed tomography”</w:t>
      </w:r>
      <w:r>
        <w:rPr>
          <w:rFonts w:ascii="Times New Roman" w:hAnsi="Times New Roman"/>
          <w:b w:val="false"/>
          <w:i w:val="false"/>
          <w:color w:val="000000"/>
          <w:sz w:val="22"/>
        </w:rPr>
        <w:t> </w:t>
      </w:r>
      <w:r>
        <w:rPr>
          <w:rFonts w:ascii="Times New Roman" w:hAnsi="Times New Roman"/>
          <w:b w:val="false"/>
          <w:i w:val="false"/>
          <w:color w:val="000000"/>
          <w:sz w:val="22"/>
        </w:rPr>
        <w:t>means the use of computed tomography to create cross-sectional images of the human body to be used for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“Expiration date”</w:t>
      </w:r>
      <w:r>
        <w:rPr>
          <w:rFonts w:ascii="Times New Roman" w:hAnsi="Times New Roman"/>
          <w:b w:val="false"/>
          <w:i w:val="false"/>
          <w:color w:val="000000"/>
          <w:sz w:val="22"/>
        </w:rPr>
        <w:t> </w:t>
      </w:r>
      <w:r>
        <w:rPr>
          <w:rFonts w:ascii="Times New Roman" w:hAnsi="Times New Roman"/>
          <w:b w:val="false"/>
          <w:i w:val="false"/>
          <w:color w:val="000000"/>
          <w:sz w:val="22"/>
        </w:rPr>
        <w:t>means 11:59 p.m. on the stated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“Formal education”</w:t>
      </w:r>
      <w:r>
        <w:rPr>
          <w:rFonts w:ascii="Times New Roman" w:hAnsi="Times New Roman"/>
          <w:b w:val="false"/>
          <w:i w:val="false"/>
          <w:color w:val="000000"/>
          <w:sz w:val="22"/>
        </w:rPr>
        <w:t> </w:t>
      </w:r>
      <w:r>
        <w:rPr>
          <w:rFonts w:ascii="Times New Roman" w:hAnsi="Times New Roman"/>
          <w:b w:val="false"/>
          <w:i w:val="false"/>
          <w:color w:val="000000"/>
          <w:sz w:val="22"/>
        </w:rPr>
        <w:t>means a course of classroom and clinical instruction that meets the training standards set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“NMTCB”</w:t>
      </w:r>
      <w:r>
        <w:rPr>
          <w:rFonts w:ascii="Times New Roman" w:hAnsi="Times New Roman"/>
          <w:b w:val="false"/>
          <w:i w:val="false"/>
          <w:color w:val="000000"/>
          <w:sz w:val="22"/>
        </w:rPr>
        <w:t> </w:t>
      </w:r>
      <w:r>
        <w:rPr>
          <w:rFonts w:ascii="Times New Roman" w:hAnsi="Times New Roman"/>
          <w:b w:val="false"/>
          <w:i w:val="false"/>
          <w:color w:val="000000"/>
          <w:sz w:val="22"/>
        </w:rPr>
        <w:t>means Nuclear Medicine Technology Certification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“Nuclear medicine diagnostic computed tomography endorsement”</w:t>
      </w:r>
      <w:r>
        <w:rPr>
          <w:rFonts w:ascii="Times New Roman" w:hAnsi="Times New Roman"/>
          <w:b w:val="false"/>
          <w:i w:val="false"/>
          <w:color w:val="000000"/>
          <w:sz w:val="22"/>
        </w:rPr>
        <w:t> </w:t>
      </w:r>
      <w:r>
        <w:rPr>
          <w:rFonts w:ascii="Times New Roman" w:hAnsi="Times New Roman"/>
          <w:b w:val="false"/>
          <w:i w:val="false"/>
          <w:color w:val="000000"/>
          <w:sz w:val="22"/>
        </w:rPr>
        <w:t>means a qualification that allows a nuclear medicine technologist to perform diagnostic computed tomography of the human body as ordered by an individual authorized by Iowa law to order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“Nuclear medicine procedure”</w:t>
      </w:r>
      <w:r>
        <w:rPr>
          <w:rFonts w:ascii="Times New Roman" w:hAnsi="Times New Roman"/>
          <w:b w:val="false"/>
          <w:i w:val="false"/>
          <w:color w:val="000000"/>
          <w:sz w:val="22"/>
        </w:rPr>
        <w:t> </w:t>
      </w:r>
      <w:r>
        <w:rPr>
          <w:rFonts w:ascii="Times New Roman" w:hAnsi="Times New Roman"/>
          <w:b w:val="false"/>
          <w:i w:val="false"/>
          <w:color w:val="000000"/>
          <w:sz w:val="22"/>
        </w:rPr>
        <w:t>means any procedure utilizing radiopharmaceuticals for diagnosis or treatment of disease in human beings and any duties performed by the technologist during sealed source procedures and 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Administration of any radiopharmaceutical to human beings for diagnostic purposes.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Administration of radioactive material to human beings for therapeutic purposes.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of radioactive material for diagnostic purposes involving transmission or excitation.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Quality control and quality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“Nuclear medicine technologist”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performs nuclear medicine procedures while under the supervision of an authorized user. The classifications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nuclear medicine technologist” performs any nuclear medicine procedures and may perform computed tomography for attenuation correction during PET/CT or SPECT/CT only.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“Limited nuclear medicine technologist” performs nuclear medicine procedures only as approved by the department at the time the initial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w:t>
      </w:r>
      <w:r>
        <w:rPr>
          <w:rFonts w:ascii="Times New Roman" w:hAnsi="Times New Roman"/>
          <w:b w:val="false"/>
          <w:i w:val="false"/>
          <w:color w:val="000000"/>
          <w:sz w:val="22"/>
        </w:rPr>
        <w:t> </w:t>
      </w:r>
      <w:r>
        <w:rPr>
          <w:rFonts w:ascii="Times New Roman" w:hAnsi="Times New Roman"/>
          <w:b w:val="false"/>
          <w:i w:val="false"/>
          <w:color w:val="000000"/>
          <w:sz w:val="22"/>
        </w:rPr>
        <w:t>means the document issued to an individual by the department when the individual has met the requirements of this chapter. This document authorizes the individual to perform the duties allowed for the classification of permit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therapist”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performs radiation therapy under the supervision of a radiation oncologist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w:t>
      </w:r>
      <w:r>
        <w:rPr>
          <w:rFonts w:ascii="Times New Roman" w:hAnsi="Times New Roman"/>
          <w:b w:val="false"/>
          <w:i w:val="false"/>
          <w:color w:val="000000"/>
          <w:sz w:val="22"/>
        </w:rPr>
        <w:t> </w:t>
      </w:r>
      <w:r>
        <w:rPr>
          <w:rFonts w:ascii="Times New Roman" w:hAnsi="Times New Roman"/>
          <w:b w:val="false"/>
          <w:i w:val="false"/>
          <w:color w:val="000000"/>
          <w:sz w:val="22"/>
        </w:rPr>
        <w:t>means the science and art of performing simulation radiography or applying ionizing radiation emitted from X-ray machines, particle accelerators, or radioactive materials in the form of sealed sources to human beings for therapeutic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“Radiography”</w:t>
      </w:r>
      <w:r>
        <w:rPr>
          <w:rFonts w:ascii="Times New Roman" w:hAnsi="Times New Roman"/>
          <w:b w:val="false"/>
          <w:i w:val="false"/>
          <w:color w:val="000000"/>
          <w:sz w:val="22"/>
        </w:rPr>
        <w:t> </w:t>
      </w:r>
      <w:r>
        <w:rPr>
          <w:rFonts w:ascii="Times New Roman" w:hAnsi="Times New Roman"/>
          <w:b w:val="false"/>
          <w:i w:val="false"/>
          <w:color w:val="000000"/>
          <w:sz w:val="22"/>
        </w:rPr>
        <w:t>means a technique for generating and recording an X-ray pattern for the purpose of providing the user with an image(s) during or after termination of the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“Radiologic technologist”</w:t>
      </w:r>
      <w:r>
        <w:rPr>
          <w:rFonts w:ascii="Times New Roman" w:hAnsi="Times New Roman"/>
          <w:b w:val="false"/>
          <w:i w:val="false"/>
          <w:color w:val="000000"/>
          <w:sz w:val="22"/>
        </w:rPr>
        <w:t> </w:t>
      </w:r>
      <w:r>
        <w:rPr>
          <w:rFonts w:ascii="Times New Roman" w:hAnsi="Times New Roman"/>
          <w:b w:val="false"/>
          <w:i w:val="false"/>
          <w:color w:val="000000"/>
          <w:sz w:val="22"/>
        </w:rPr>
        <w:t>means an individual, excluding X-ray equipment operators, who performs radiography of the human body as ordered by an individual authorized by Iowa law to order radiography. The classifications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radiologic technologist” performs radiography and computed tomography of any part of the human body.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“Limited radiologic technologist” performs radiography for the chest, spine, extremities, shoulder or pediatrics, excluding computed tomography and fluoroscopy.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“Limited in-hospital radiologic technologist” performs radiography of any part of the human body as approved by the department at the time the initial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“Radiologist assistant”</w:t>
      </w:r>
      <w:r>
        <w:rPr>
          <w:rFonts w:ascii="Times New Roman" w:hAnsi="Times New Roman"/>
          <w:b w:val="false"/>
          <w:i w:val="false"/>
          <w:color w:val="000000"/>
          <w:sz w:val="22"/>
        </w:rPr>
        <w:t> </w:t>
      </w:r>
      <w:r>
        <w:rPr>
          <w:rFonts w:ascii="Times New Roman" w:hAnsi="Times New Roman"/>
          <w:b w:val="false"/>
          <w:i w:val="false"/>
          <w:color w:val="000000"/>
          <w:sz w:val="22"/>
        </w:rPr>
        <w:t>means an advanced-level radiologic technologist who has completed the necessary requirements in order to perform procedures as outlined in ARRT guidance while under supervision of a radiologist.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enrolled in and participating in formal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“Therapeutic”</w:t>
      </w:r>
      <w:r>
        <w:rPr>
          <w:rFonts w:ascii="Times New Roman" w:hAnsi="Times New Roman"/>
          <w:b w:val="false"/>
          <w:i w:val="false"/>
          <w:color w:val="000000"/>
          <w:sz w:val="22"/>
        </w:rPr>
        <w:t> </w:t>
      </w:r>
      <w:r>
        <w:rPr>
          <w:rFonts w:ascii="Times New Roman" w:hAnsi="Times New Roman"/>
          <w:b w:val="false"/>
          <w:i w:val="false"/>
          <w:color w:val="000000"/>
          <w:sz w:val="22"/>
        </w:rPr>
        <w:t>means a medical treatment using radiation for therapy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equipment operator”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performing radiography of the human body using dedicated equipment as ordered by an individual authorized by Iowa law to order radiography. These individuals do not qualify for a permit in any other classification. The classifications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“Podiatric X-ray equipment operator” performs radiography of only the foot and ankle using dedicated podiatric equipment. Studies using computed tomography, fluoroscopy, or nondedicated equipment are prohibited.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“Bone densitometry equipment operator” performs bone densitometry using only dual energy X-ray absorptiometry equipment. Studies using computed tomography, fluoroscopy, or nondedicated equipment are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641—38.2</w:t>
      </w:r>
      <w:r>
        <w:rPr>
          <w:rFonts w:ascii="Times New Roman" w:hAnsi="Times New Roman"/>
          <w:b/>
          <w:i w:val="false"/>
          <w:color w:val="000000"/>
          <w:sz w:val="22"/>
        </w:rPr>
        <w:t xml:space="preserve">(136C)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are exempt from obtaining a permit for the operation of radiation machines only as required by this chapter in accordance with Iowa Code chapter </w:t>
      </w:r>
      <w:hyperlink r:id="rId6">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chiropractor.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licensed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licensed podiatrist.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individual certified by the dental board in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student as a part of the student’s formal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upon application or upon its own initiative, grant such exemptions from the requirements of this chapter as it determines are authorized by law and will not result in undue hazard to public health and safety. Application for exemptions should be made in accordance with </w:t>
      </w:r>
      <w:hyperlink r:id="rId7">
        <w:r>
          <w:rPr>
            <w:rStyle w:val="Hyperlink"/>
            <w:rFonts w:ascii="Times New Roman" w:hAnsi="Times New Roman"/>
            <w:b w:val="false"/>
            <w:i w:val="false"/>
            <w:color w:val="000000"/>
            <w:sz w:val="22"/>
          </w:rPr>
          <w:t>441—Chapter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641—38.3</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application and renewal. </w:t>
      </w:r>
      <w:r>
        <w:rPr>
          <w:rFonts w:ascii="Times New Roman" w:hAnsi="Times New Roman"/>
          <w:b w:val="false"/>
          <w:i w:val="false"/>
          <w:color w:val="000000"/>
          <w:sz w:val="22"/>
        </w:rPr>
        <w:t>An individual cannot operate ionizing radiation producing machines or administer radioactive materials for diagnostic or therapeutic purposes unless the individual possesses a current Iowa permit in the individual’s classification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641—38.4</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practice—general radiologic technologist, nuclear medicine technologist, radiation therapist.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nonrefundable $100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proof of a passing score on the ARRT general radiography examination, the NMTCB nuclear medicine examination, or the ARRT radiation therapist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24.0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38.4(3)</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nonrefundable $100 application fee. If the permit is expired six months or more, all previous exemptions from this chapter are no longer valid and the individual is subject to all requirements of applying for an initial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24.0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641—38.5</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 as a general nuclear medicine technologist with computed tomography endorsement. </w:t>
      </w:r>
      <w:r>
        <w:rPr>
          <w:rFonts w:ascii="Times New Roman" w:hAnsi="Times New Roman"/>
          <w:b w:val="false"/>
          <w:i w:val="false"/>
          <w:color w:val="000000"/>
          <w:sz w:val="22"/>
        </w:rPr>
        <w:t>An individual applying for a nuclear medicine diagnostic computed tomography endorsement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38.5(1)</w:t>
      </w:r>
      <w:r>
        <w:rPr>
          <w:rFonts w:ascii="Times New Roman" w:hAnsi="Times New Roman"/>
          <w:b w:val="false"/>
          <w:i w:val="false"/>
          <w:color w:val="000000"/>
          <w:sz w:val="22"/>
        </w:rPr>
        <w:t> </w:t>
      </w:r>
      <w:r>
        <w:rPr>
          <w:rFonts w:ascii="Times New Roman" w:hAnsi="Times New Roman"/>
          <w:b w:val="false"/>
          <w:i w:val="false"/>
          <w:color w:val="000000"/>
          <w:sz w:val="22"/>
        </w:rPr>
        <w:t>Maintain an active permit to practice as a general nuclear medicine technologist. Endorsements shall not be held without an active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38.5(2)</w:t>
      </w:r>
      <w:r>
        <w:rPr>
          <w:rFonts w:ascii="Times New Roman" w:hAnsi="Times New Roman"/>
          <w:b w:val="false"/>
          <w:i w:val="false"/>
          <w:color w:val="000000"/>
          <w:sz w:val="22"/>
        </w:rPr>
        <w:t> </w:t>
      </w:r>
      <w:r>
        <w:rPr>
          <w:rFonts w:ascii="Times New Roman" w:hAnsi="Times New Roman"/>
          <w:b w:val="false"/>
          <w:i w:val="false"/>
          <w:color w:val="000000"/>
          <w:sz w:val="22"/>
        </w:rPr>
        <w:t>Submit proof of a passing score on the ARRT or NMTCB computed tomography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641—38.6</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 as a radiologist assistant.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nonrefundable $100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formal education for a radiologist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proof of one year of experience as a general radiologic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proof of a passing score on the ARRT radiologist assistant examination or another examination that is recognized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50.0 hours of continuing education obtained within the biennium indicated on the individual’s permit. Radiologist assistant permit holders must obtain at least one-half of the required continuing education in subject areas specific to radiography. The remainder may be earned as physician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38.6(3)</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nonrefundable $100 application fee. If the permit is expired six months or more, all previous exemptions from this chapter are no longer valid and the individual is subject to all requirements of applying for an initial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50.0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641—38.7</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 as a limited radiologic technologist with categories of chest, spine, extremities, shoulder, pediatric. </w:t>
      </w:r>
      <w:r>
        <w:rPr>
          <w:rFonts w:ascii="Times New Roman" w:hAnsi="Times New Roman"/>
          <w:b w:val="false"/>
          <w:i w:val="false"/>
          <w:color w:val="000000"/>
          <w:sz w:val="22"/>
        </w:rPr>
        <w:t>An individual with a limited radiologic technologist permit can perform radiography only within the scope of the category(ies) in which the permit is issued. Limited radiologic technologists may use portable/mobile radiography equipment. The facility must maintain proof of the completion of training on specific portable/mobile equipment as part of the facility’s radiation protection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38.7(1)</w:t>
      </w:r>
      <w:r>
        <w:rPr>
          <w:rFonts w:ascii="Times New Roman" w:hAnsi="Times New Roman"/>
          <w:b w:val="false"/>
          <w:i w:val="false"/>
          <w:color w:val="000000"/>
          <w:sz w:val="22"/>
        </w:rPr>
        <w:t> </w:t>
      </w:r>
      <w:r>
        <w:rPr>
          <w:rFonts w:ascii="Times New Roman" w:hAnsi="Times New Roman"/>
          <w:b w:val="false"/>
          <w:i w:val="false"/>
          <w:color w:val="000000"/>
          <w:sz w:val="22"/>
        </w:rPr>
        <w:t>The scope of each category is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“Chest” allows the permit holder to perform radiography of the lung fields, including the cardiac shadow, as taught in the limited radiography formal education standards. Chest radiograph techniques cannot be manipulated for the evaluation of the shoulder, clavicle, scapula, ribs, thoracic spine and sternum. Limited radiologic technologists who have completed the appropriate formal education after January 1, 2009, may perform lateral decubitus chest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“Extremities” allows the permit holder to perform radiography for body parts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distal phalanges of the foot to the head of the femur, including its articulation with the pelvic girdle. True hip radiographs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distal phalanges of the hand to the head of the humerus. These projections may include the acromioclavicular or glenoid-humeral areas. The radiograph shall not include any of the views in the shoulder category unless the individual holds a limited radiologic technologist permit that includes the shoulder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“Spine” allows the permit holder to perform radiography of the spine in the approved areas only. Approved areas and limitations are described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Cervical vertebrae.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Thoracic (dorsal) vertebrae.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Lumbar vertebrae to include the articulations with the sacrum and coccyx and the sacral articulation with the pelvic girdle. True pelvis radiographs or other projections performed with the image receptor positioned perpendicular to the long axis of the torso are prohibited under this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projections shall be performed as taught in the limited radiologic technologist formal education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“Shoulder” allows the permit holder to perform radiography of the shoulder in the approved projections only. Approved projections and limitations are described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 internal and external rotation.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 neutral.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Transthoracic lateral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Scapular “Y” lateral.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image cannot include the proximal end of the clavicle on any AP projection. All other shoulder views are prohibited. The permit holder must hold a limited radiologic technologist permit with a category of either chest or extremity in order to be granted the shoulder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“Pediatric” allows the permit holder to perform radiography of either chest or extremities or both as defined in this chapter for patients aged 36 months and under. The permit holder must hold a limited radiologic technologist permit with the minimum categories of chest or extremities or both in order to qualify for pediatric radiography. This designation allows permit holders to perform pediatric radiography within the permit classifications listed on their permit only. All other projections on pediatric patients by limited radiologic technologists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38.7(2)</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nonrefundable $100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formal education in all limited diagnostic radiography categories for which the individual is applying. In order to apply for the shoulder category, the individual needs to also apply for the chest or extremity category. In order to apply for the pediatric category, the individual must also apply for the chest or extremity category. Each individual making application to attend a formal education course provided by the department to fulfill these requirements must submit an application and nonrefundable fee of $200 to the department each time the individual attends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testing as applicable for each permit category for which the individual is applying on the limited radiologic technologist permit. No examination is required for the categories of shoulder or pediatric.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are passing scores: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score of at least 70 percent on the ARRT limited scope of practice in radiography examination core section and at least 70 percent on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score of at least 70 percent on the American Chiropractic Registry of Radiologic Technologists limited radiography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score of at least 70 percent on a department-approved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Three failed attempts on the examination will require the individual to repeat the formal education or complete a department-approved review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individual making application to take an examination as a limited radiologic technologist in must submit an application to the department each time the individual takes the examination. The individual must also submit the examination fee directly to the ARRT each time the individual takes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formal education and examination in the category to be added and a nonrefundable $40 amendment fee to add chest, extremity, or spine category to an existing limited radiologic technologist permit. A score of at least 70 percent on each category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formal education and a nonrefundable $40 amendment fee to add shoulder or pediatric category to an existing limited radiologic technologist permit. No examination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38.7(3)</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12.0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38.7(4)</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nonrefundable $100 application fee. If the permit is expired six months or more, all previous exemptions from this chapter are no longer valid and the individual is subject to all the requirements of obtaining an initial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12.0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641—38.8</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 as an X-ray equipment operator in podiatric radiography or bone densitometry (dual energy X-ray absorptiometry or DEXA). </w:t>
      </w:r>
      <w:r>
        <w:rPr>
          <w:rFonts w:ascii="Times New Roman" w:hAnsi="Times New Roman"/>
          <w:b w:val="false"/>
          <w:i w:val="false"/>
          <w:color w:val="000000"/>
          <w:sz w:val="22"/>
        </w:rPr>
        <w:t>After January 1, 2015, all individuals performing only bone densitometry or other examinations using DEXA machines must hold a bone densitometry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nonrefundable $40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formal education that meets the department minimum training standards. Each individual applying to attend an X-ray equipment operator formal education course provided by the department must submit an application and nonrefundable fee of $150 to the department each time the individual attends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proof of at least a 70 percent score on a department-approved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 failed attempts on the examination will cause the individual to repeat the formal education or complete a department-approved review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individual applying to take an examination as an X-ray equipment operator must submit an application and nonrefundable fee of $100 to the department each time the individual takes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$40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four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38.8(3)</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nonrefundable $100 application fee. If the permit is expired six months or more, all previous exemptions from this chapter are no longer valid and the individual is subject to all requirements of applying for an initial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four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641—38.9</w:t>
      </w:r>
      <w:r>
        <w:rPr>
          <w:rFonts w:ascii="Times New Roman" w:hAnsi="Times New Roman"/>
          <w:b/>
          <w:i w:val="false"/>
          <w:color w:val="000000"/>
          <w:sz w:val="22"/>
        </w:rPr>
        <w:t xml:space="preserve">(136C) </w:t>
      </w:r>
      <w:r>
        <w:rPr>
          <w:rFonts w:ascii="Times New Roman" w:hAnsi="Times New Roman"/>
          <w:b/>
          <w:i w:val="false"/>
          <w:color w:val="000000"/>
          <w:sz w:val="22"/>
        </w:rPr>
        <w:t xml:space="preserve">Closed classification or category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38.9(1)</w:t>
      </w:r>
      <w:r>
        <w:rPr>
          <w:rFonts w:ascii="Times New Roman" w:hAnsi="Times New Roman"/>
          <w:b w:val="false"/>
          <w:i w:val="false"/>
          <w:color w:val="000000"/>
          <w:sz w:val="22"/>
        </w:rPr>
        <w:t> </w:t>
      </w:r>
      <w:r>
        <w:rPr>
          <w:rFonts w:ascii="Times New Roman" w:hAnsi="Times New Roman"/>
          <w:b w:val="false"/>
          <w:i w:val="false"/>
          <w:color w:val="000000"/>
          <w:sz w:val="22"/>
        </w:rPr>
        <w:t>The following classifications or categories are closed to new applicants. Permits in the following classifications or categories that are expired for more than six months are not eligible to be reinstated, and individuals shall maintain current permits as outlined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Limited nuclear medicine technologist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nuclear medicine procedures for which the individual is qualified and has been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 12.0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radiologic technologist paranasal sinus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diagnostic radiography procedures, excluding CT and fluoroscopy, specific to paranasal sinus.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 six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permit expired less than six months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nonrefundable $150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641—38.10</w:t>
      </w:r>
      <w:r>
        <w:rPr>
          <w:rFonts w:ascii="Times New Roman" w:hAnsi="Times New Roman"/>
          <w:b/>
          <w:i w:val="false"/>
          <w:color w:val="000000"/>
          <w:sz w:val="22"/>
        </w:rPr>
        <w:t xml:space="preserve">(136C) </w:t>
      </w:r>
      <w:r>
        <w:rPr>
          <w:rFonts w:ascii="Times New Roman" w:hAnsi="Times New Roman"/>
          <w:b/>
          <w:i w:val="false"/>
          <w:color w:val="000000"/>
          <w:sz w:val="22"/>
        </w:rPr>
        <w:t xml:space="preserve">Combining permits for an individual qualifying for permits in more than one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in more than one classification at the same time shall combine classifications on one permit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Indicating each classification on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Submitting the required documentation for each classification as outlined in each classification section;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a nonrefundable $150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38.10(2)</w:t>
      </w:r>
      <w:r>
        <w:rPr>
          <w:rFonts w:ascii="Times New Roman" w:hAnsi="Times New Roman"/>
          <w:b w:val="false"/>
          <w:i w:val="false"/>
          <w:color w:val="000000"/>
          <w:sz w:val="22"/>
        </w:rPr>
        <w:t> </w:t>
      </w:r>
      <w:r>
        <w:rPr>
          <w:rFonts w:ascii="Times New Roman" w:hAnsi="Times New Roman"/>
          <w:b w:val="false"/>
          <w:i w:val="false"/>
          <w:color w:val="000000"/>
          <w:sz w:val="22"/>
        </w:rPr>
        <w:t>Permit holders can add a classification to an existing permit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Completing the appropriate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Submitting the required documentation as outlined in the rule specific to the classification to be added;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a nonrefundable $40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38.10(3)</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combined classification permit must submit the appropriately completed renewal application and submit a nonrefundable $110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38.10(4)</w:t>
      </w:r>
      <w:r>
        <w:rPr>
          <w:rFonts w:ascii="Times New Roman" w:hAnsi="Times New Roman"/>
          <w:b w:val="false"/>
          <w:i w:val="false"/>
          <w:color w:val="000000"/>
          <w:sz w:val="22"/>
        </w:rPr>
        <w:t> </w:t>
      </w:r>
      <w:r>
        <w:rPr>
          <w:rFonts w:ascii="Times New Roman" w:hAnsi="Times New Roman"/>
          <w:b w:val="false"/>
          <w:i w:val="false"/>
          <w:color w:val="000000"/>
          <w:sz w:val="22"/>
        </w:rPr>
        <w:t>An individual shall submit a total of 24.0 hours of continuing education obtained within the biennium indicated on the individual’s permit. If the permit includes the radiologist assistant classification, then the individual must submit a total of 50.0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38.10(5)</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a nonrefundable $150 application fee. If the permit is expired six months or more, all previous exemptions from this chapter are no longer valid and the individual is subject to all requirements of submitting an initial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24.0 hours of continuing education obtained within the previous 24 months must be submitted. If the permit includes the radiologist assistant classification, then the individual must submit a total of 50.0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641—38.11</w:t>
      </w:r>
      <w:r>
        <w:rPr>
          <w:rFonts w:ascii="Times New Roman" w:hAnsi="Times New Roman"/>
          <w:b/>
          <w:i w:val="false"/>
          <w:color w:val="000000"/>
          <w:sz w:val="22"/>
        </w:rPr>
        <w:t xml:space="preserve">(136C) </w:t>
      </w:r>
      <w:r>
        <w:rPr>
          <w:rFonts w:ascii="Times New Roman" w:hAnsi="Times New Roman"/>
          <w:b/>
          <w:i w:val="false"/>
          <w:color w:val="000000"/>
          <w:sz w:val="22"/>
        </w:rPr>
        <w:t xml:space="preserve">Submission of proof of completion of continuing education by permit holder to meet continuing education requirements to renew or reinstate a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38.11(1)</w:t>
      </w:r>
      <w:r>
        <w:rPr>
          <w:rFonts w:ascii="Times New Roman" w:hAnsi="Times New Roman"/>
          <w:b w:val="false"/>
          <w:i w:val="false"/>
          <w:color w:val="000000"/>
          <w:sz w:val="22"/>
        </w:rPr>
        <w:t> </w:t>
      </w:r>
      <w:r>
        <w:rPr>
          <w:rFonts w:ascii="Times New Roman" w:hAnsi="Times New Roman"/>
          <w:b w:val="false"/>
          <w:i w:val="false"/>
          <w:color w:val="000000"/>
          <w:sz w:val="22"/>
        </w:rPr>
        <w:t>A permit holder who has a current ARRT or NMTCB registration that has been renewed within 60 days prior to the submission of the permit renewal application required by these rules shall be credited the number of hours recognized by the ARRT or NMTCB registration or must submit proof of completion of continuing education activities recognized by ARRT or NMTCB.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Acceptable proof of completion is documentation signed and dated by the continuing education provider that includes the participant’s name, title of the activity, approval number for the activity, dates of attendance, number of contact hours for the activity, name of the approving organization, and signature of the sponsor or instructor or authorized representative of the sponsor or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activities cannot be repeated for credit in the same biennium but may be repeated across different biennia.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38.11(2)</w:t>
      </w:r>
      <w:r>
        <w:rPr>
          <w:rFonts w:ascii="Times New Roman" w:hAnsi="Times New Roman"/>
          <w:b w:val="false"/>
          <w:i w:val="false"/>
          <w:color w:val="000000"/>
          <w:sz w:val="22"/>
        </w:rPr>
        <w:t> </w:t>
      </w:r>
      <w:r>
        <w:rPr>
          <w:rFonts w:ascii="Times New Roman" w:hAnsi="Times New Roman"/>
          <w:b w:val="false"/>
          <w:i w:val="false"/>
          <w:color w:val="000000"/>
          <w:sz w:val="22"/>
        </w:rPr>
        <w:t>Podiatric X-ray equipment operator permit holders may submit activities as described in this chapter or may submit activities sponsored by the American Podiatric Medical Association or the Iowa Podiatric Medical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Acceptable proof of completion must be documentation signed and dated by the continuing education provider that includes the participant’s name, title of the activity, approval number for the activity, dates of attendance, and number of contact hours for the activity; the name of the approving organization; and the signature of the sponsor or instructor or authorized representative of the sponsor or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activities that are lecture presentations cannot be repeated for credit in the same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continuing education activities that are not lecture presentations cannot be repeated for credit in the same or any subsequent biennium.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641—38.12</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formal education. </w:t>
      </w:r>
      <w:r>
        <w:rPr>
          <w:rFonts w:ascii="Times New Roman" w:hAnsi="Times New Roman"/>
          <w:b w:val="false"/>
          <w:i w:val="false"/>
          <w:color w:val="000000"/>
          <w:sz w:val="22"/>
        </w:rPr>
        <w:t>Formal education has to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38.12(1)</w:t>
      </w:r>
      <w:r>
        <w:rPr>
          <w:rFonts w:ascii="Times New Roman" w:hAnsi="Times New Roman"/>
          <w:b w:val="false"/>
          <w:i w:val="false"/>
          <w:color w:val="000000"/>
          <w:sz w:val="22"/>
        </w:rPr>
        <w:t> </w:t>
      </w:r>
      <w:r>
        <w:rPr>
          <w:rFonts w:ascii="Times New Roman" w:hAnsi="Times New Roman"/>
          <w:b w:val="false"/>
          <w:i w:val="false"/>
          <w:color w:val="000000"/>
          <w:sz w:val="22"/>
        </w:rPr>
        <w:t>General radiologic technology formal education must be recognized by the ARRT to allow students to qualify for the general radiography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38.12(2)</w:t>
      </w:r>
      <w:r>
        <w:rPr>
          <w:rFonts w:ascii="Times New Roman" w:hAnsi="Times New Roman"/>
          <w:b w:val="false"/>
          <w:i w:val="false"/>
          <w:color w:val="000000"/>
          <w:sz w:val="22"/>
        </w:rPr>
        <w:t> </w:t>
      </w:r>
      <w:r>
        <w:rPr>
          <w:rFonts w:ascii="Times New Roman" w:hAnsi="Times New Roman"/>
          <w:b w:val="false"/>
          <w:i w:val="false"/>
          <w:color w:val="000000"/>
          <w:sz w:val="22"/>
        </w:rPr>
        <w:t>Nuclear medicine technology formal education must be recognized by the ARRT or NMTCB to allow students to qualify for the nuclear medicine technology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38.12(3)</w:t>
      </w:r>
      <w:r>
        <w:rPr>
          <w:rFonts w:ascii="Times New Roman" w:hAnsi="Times New Roman"/>
          <w:b w:val="false"/>
          <w:i w:val="false"/>
          <w:color w:val="000000"/>
          <w:sz w:val="22"/>
        </w:rPr>
        <w:t> </w:t>
      </w:r>
      <w:r>
        <w:rPr>
          <w:rFonts w:ascii="Times New Roman" w:hAnsi="Times New Roman"/>
          <w:b w:val="false"/>
          <w:i w:val="false"/>
          <w:color w:val="000000"/>
          <w:sz w:val="22"/>
        </w:rPr>
        <w:t>Radiation therapy formal education must be recognized by the ARRT to allow students to qualify for the radiation therapy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38.12(4)</w:t>
      </w:r>
      <w:r>
        <w:rPr>
          <w:rFonts w:ascii="Times New Roman" w:hAnsi="Times New Roman"/>
          <w:b w:val="false"/>
          <w:i w:val="false"/>
          <w:color w:val="000000"/>
          <w:sz w:val="22"/>
        </w:rPr>
        <w:t> </w:t>
      </w:r>
      <w:r>
        <w:rPr>
          <w:rFonts w:ascii="Times New Roman" w:hAnsi="Times New Roman"/>
          <w:b w:val="false"/>
          <w:i w:val="false"/>
          <w:color w:val="000000"/>
          <w:sz w:val="22"/>
        </w:rPr>
        <w:t>Radiologist assistant formal education must provide training to allow students to qualify for a department-approved radiologist assistant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38.12(5)</w:t>
      </w:r>
      <w:r>
        <w:rPr>
          <w:rFonts w:ascii="Times New Roman" w:hAnsi="Times New Roman"/>
          <w:b w:val="false"/>
          <w:i w:val="false"/>
          <w:color w:val="000000"/>
          <w:sz w:val="22"/>
        </w:rPr>
        <w:t> </w:t>
      </w:r>
      <w:r>
        <w:rPr>
          <w:rFonts w:ascii="Times New Roman" w:hAnsi="Times New Roman"/>
          <w:b w:val="false"/>
          <w:i w:val="false"/>
          <w:color w:val="000000"/>
          <w:sz w:val="22"/>
        </w:rPr>
        <w:t>Limited radiologic technologist formal education must meet the minimum standards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38.12(6)</w:t>
      </w:r>
      <w:r>
        <w:rPr>
          <w:rFonts w:ascii="Times New Roman" w:hAnsi="Times New Roman"/>
          <w:b w:val="false"/>
          <w:i w:val="false"/>
          <w:color w:val="000000"/>
          <w:sz w:val="22"/>
        </w:rPr>
        <w:t> </w:t>
      </w:r>
      <w:r>
        <w:rPr>
          <w:rFonts w:ascii="Times New Roman" w:hAnsi="Times New Roman"/>
          <w:b w:val="false"/>
          <w:i w:val="false"/>
          <w:color w:val="000000"/>
          <w:sz w:val="22"/>
        </w:rPr>
        <w:t>X-ray equipment operator formal education must meet the minimum standards as outlined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641—38.13</w:t>
      </w:r>
      <w:r>
        <w:rPr>
          <w:rFonts w:ascii="Times New Roman" w:hAnsi="Times New Roman"/>
          <w:b/>
          <w:i w:val="false"/>
          <w:color w:val="000000"/>
          <w:sz w:val="22"/>
        </w:rPr>
        <w:t xml:space="preserve">(136C) </w:t>
      </w:r>
      <w:r>
        <w:rPr>
          <w:rFonts w:ascii="Times New Roman" w:hAnsi="Times New Roman"/>
          <w:b/>
          <w:i w:val="false"/>
          <w:color w:val="000000"/>
          <w:sz w:val="22"/>
        </w:rPr>
        <w:t xml:space="preserve">Standards for formal education for limited radiologic technologists.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38.13(1)</w:t>
      </w:r>
      <w:r>
        <w:rPr>
          <w:rFonts w:ascii="Times New Roman" w:hAnsi="Times New Roman"/>
          <w:b w:val="false"/>
          <w:i w:val="false"/>
          <w:color w:val="000000"/>
          <w:sz w:val="22"/>
        </w:rPr>
        <w:t> </w:t>
      </w:r>
      <w:r>
        <w:rPr>
          <w:rFonts w:ascii="Times New Roman" w:hAnsi="Times New Roman"/>
          <w:b w:val="false"/>
          <w:i w:val="false"/>
          <w:color w:val="000000"/>
          <w:sz w:val="22"/>
        </w:rPr>
        <w:t>The formal education may be a single offering that meets all standards of all categories, or it may be offered individually specific to the category the provider wishes to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38.13(2)</w:t>
      </w:r>
      <w:r>
        <w:rPr>
          <w:rFonts w:ascii="Times New Roman" w:hAnsi="Times New Roman"/>
          <w:b w:val="false"/>
          <w:i w:val="false"/>
          <w:color w:val="000000"/>
          <w:sz w:val="22"/>
        </w:rPr>
        <w:t> </w:t>
      </w:r>
      <w:r>
        <w:rPr>
          <w:rFonts w:ascii="Times New Roman" w:hAnsi="Times New Roman"/>
          <w:b w:val="false"/>
          <w:i w:val="false"/>
          <w:color w:val="000000"/>
          <w:sz w:val="22"/>
        </w:rPr>
        <w:t>The following are the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Iowa-licensed chiropractor teaching spine and extremities categories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and have at least two years of current experience in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and have at least two years of current experience in radiography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clinical instructor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Iowa-licensed chiropractor teaching spine and extremities categories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and have at least two years of current experience in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an Iowa-permitted limited radiologic technologist in the category of instruction and have at least two years of current experience in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and have at least two years of current experience in radiography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Clinical instructors shall be supervised by the 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may also act as clinical instructor,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Classroom and clinical standards are listed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87"/>
        <w:gridCol w:w="1728"/>
        <w:gridCol w:w="3225"/>
        <w:gridCol w:w="2880"/>
      </w:tblGrid>
      <w:tr>
        <w:trPr>
          <w:trHeight w:val="450" w:hRule="atLeast"/>
        </w:trPr>
        <w:tc>
          <w:tcPr>
            <w:tcW w:w="368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Category</w:t>
            </w:r>
          </w:p>
        </w:tc>
        <w:tc>
          <w:tcPr>
            <w:tcW w:w="172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Classroom Hours</w:t>
            </w:r>
          </w:p>
        </w:tc>
        <w:tc>
          <w:tcPr>
            <w:tcW w:w="322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Clinical Practice Projections</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Clinical Competency Projections</w:t>
            </w:r>
          </w:p>
        </w:tc>
      </w:tr>
      <w:tr>
        <w:trPr>
          <w:trHeight w:val="255"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Core: completed by all trainees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60</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Chest </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30 PA or LAT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PA, 5 LAT</w:t>
            </w:r>
          </w:p>
        </w:tc>
      </w:tr>
      <w:tr>
        <w:trPr>
          <w:trHeight w:val="450"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Upper extremity </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 (only 2 of any projection allowed)</w:t>
            </w:r>
          </w:p>
        </w:tc>
      </w:tr>
      <w:tr>
        <w:trPr>
          <w:trHeight w:val="450"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Lower extremity </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 (only 2 of any projection allowed)</w:t>
            </w:r>
          </w:p>
        </w:tc>
      </w:tr>
      <w:tr>
        <w:trPr>
          <w:trHeight w:val="450"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Shoulder </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(only 2 of any projection allowed)</w:t>
            </w:r>
          </w:p>
        </w:tc>
      </w:tr>
      <w:tr>
        <w:trPr>
          <w:trHeight w:val="450"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Spine </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 (only 2 of any projection allowed)</w:t>
            </w:r>
          </w:p>
        </w:tc>
      </w:tr>
      <w:tr>
        <w:trPr>
          <w:trHeight w:val="450"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Pediatric: add on to chest</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of initial pediatrics</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PA, 2 LAT</w:t>
            </w:r>
          </w:p>
        </w:tc>
      </w:tr>
      <w:tr>
        <w:trPr>
          <w:trHeight w:val="450"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Pediatric: add on to upper extremity</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of initial pediatrics</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 (only 2 of any projection allowed)</w:t>
            </w:r>
          </w:p>
        </w:tc>
      </w:tr>
      <w:tr>
        <w:trPr>
          <w:trHeight w:val="450"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Pediatric: add on to lower extremity</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of initial pediatrics</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 (only 2 of any projection allowed)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competency testing for limited radiography shall be directly supervised by the principal or clinical instructor, can only begin after the classroom hours in a category have been completed, and cannot begin until after the clinical site has been approved by the department using the Initial Clinical Site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 instructors shall directly supervise all students before a student’s competency for a specific projection is documented and indirectly supervise after the student’s competency for a specific projection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permit holders completing formal education to add a category do not need to repeat the core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38.13(3)</w:t>
      </w:r>
      <w:r>
        <w:rPr>
          <w:rFonts w:ascii="Times New Roman" w:hAnsi="Times New Roman"/>
          <w:b w:val="false"/>
          <w:i w:val="false"/>
          <w:color w:val="000000"/>
          <w:sz w:val="22"/>
        </w:rPr>
        <w:t> </w:t>
      </w:r>
      <w:r>
        <w:rPr>
          <w:rFonts w:ascii="Times New Roman" w:hAnsi="Times New Roman"/>
          <w:b w:val="false"/>
          <w:i w:val="false"/>
          <w:color w:val="000000"/>
          <w:sz w:val="22"/>
        </w:rPr>
        <w:t>Department approval is required before implementing any formal education or making any changes to a formal education offering.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38.13(4)</w:t>
      </w:r>
      <w:r>
        <w:rPr>
          <w:rFonts w:ascii="Times New Roman" w:hAnsi="Times New Roman"/>
          <w:b w:val="false"/>
          <w:i w:val="false"/>
          <w:color w:val="000000"/>
          <w:sz w:val="22"/>
        </w:rPr>
        <w:t> </w:t>
      </w:r>
      <w:r>
        <w:rPr>
          <w:rFonts w:ascii="Times New Roman" w:hAnsi="Times New Roman"/>
          <w:b w:val="false"/>
          <w:i w:val="false"/>
          <w:color w:val="000000"/>
          <w:sz w:val="22"/>
        </w:rPr>
        <w:t>Administrative items for all formal education. The department reserves the right to audit or evaluate any aspect of the formal education or student progress.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641—38.14</w:t>
      </w:r>
      <w:r>
        <w:rPr>
          <w:rFonts w:ascii="Times New Roman" w:hAnsi="Times New Roman"/>
          <w:b/>
          <w:i w:val="false"/>
          <w:color w:val="000000"/>
          <w:sz w:val="22"/>
        </w:rPr>
        <w:t xml:space="preserve">(136C) </w:t>
      </w:r>
      <w:r>
        <w:rPr>
          <w:rFonts w:ascii="Times New Roman" w:hAnsi="Times New Roman"/>
          <w:b/>
          <w:i w:val="false"/>
          <w:color w:val="000000"/>
          <w:sz w:val="22"/>
        </w:rPr>
        <w:t xml:space="preserve">Standards for formal education for X-ray equipment operators in podiatric radiography.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38.14(1)</w:t>
      </w:r>
      <w:r>
        <w:rPr>
          <w:rFonts w:ascii="Times New Roman" w:hAnsi="Times New Roman"/>
          <w:b w:val="false"/>
          <w:i w:val="false"/>
          <w:color w:val="000000"/>
          <w:sz w:val="22"/>
        </w:rPr>
        <w:t> </w:t>
      </w:r>
      <w:r>
        <w:rPr>
          <w:rFonts w:ascii="Times New Roman" w:hAnsi="Times New Roman"/>
          <w:b w:val="false"/>
          <w:i w:val="false"/>
          <w:color w:val="000000"/>
          <w:sz w:val="22"/>
        </w:rPr>
        <w:t>The following are the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Iowa-licensed podiatrist;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and have at least two years of current experience in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and have at least two years of current experience in radiography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clinical instructor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Iowa-licensed podiatrist;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an Iowa-permitted limited radiologic technologist in the category of extremities and have at least two years of current experience in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an Iowa-permitted X-ray equipment operator in podiatry and have at least two years of current experience in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and have at last two years of current experience in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and have at least two years of current experience in radiography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Clinical instructors shall be supervised by the 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may also act as clinical instructor,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are classroom and clinical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eight hours of classroom instruction to include radiation safety, equipment operation, patient care, and anatomy.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 instruction to include positioning and a minimum of 20 projections excluding the competency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 competency projections to include ten projections with only two of any single projection allowed to count toward the competency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competency testing to be directly supervised by the principal or clinical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Clinical instructors to directly supervise all students before a student’s competency for the specific projection is documented and indirectly supervise after the student’s competency for the specific projection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38.14(2)</w:t>
      </w:r>
      <w:r>
        <w:rPr>
          <w:rFonts w:ascii="Times New Roman" w:hAnsi="Times New Roman"/>
          <w:b w:val="false"/>
          <w:i w:val="false"/>
          <w:color w:val="000000"/>
          <w:sz w:val="22"/>
        </w:rPr>
        <w:t> </w:t>
      </w:r>
      <w:r>
        <w:rPr>
          <w:rFonts w:ascii="Times New Roman" w:hAnsi="Times New Roman"/>
          <w:b w:val="false"/>
          <w:i w:val="false"/>
          <w:color w:val="000000"/>
          <w:sz w:val="22"/>
        </w:rPr>
        <w:t>Department approval is required before implementing any formal education or making any changes to a formal education offering.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38.14(3)</w:t>
      </w:r>
      <w:r>
        <w:rPr>
          <w:rFonts w:ascii="Times New Roman" w:hAnsi="Times New Roman"/>
          <w:b w:val="false"/>
          <w:i w:val="false"/>
          <w:color w:val="000000"/>
          <w:sz w:val="22"/>
        </w:rPr>
        <w:t> </w:t>
      </w:r>
      <w:r>
        <w:rPr>
          <w:rFonts w:ascii="Times New Roman" w:hAnsi="Times New Roman"/>
          <w:b w:val="false"/>
          <w:i w:val="false"/>
          <w:color w:val="000000"/>
          <w:sz w:val="22"/>
        </w:rPr>
        <w:t>Administrative items for all formal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audit or evaluate any aspect of the formal education or student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request further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641—38.15</w:t>
      </w:r>
      <w:r>
        <w:rPr>
          <w:rFonts w:ascii="Times New Roman" w:hAnsi="Times New Roman"/>
          <w:b/>
          <w:i w:val="false"/>
          <w:color w:val="000000"/>
          <w:sz w:val="22"/>
        </w:rPr>
        <w:t xml:space="preserve">(136C) </w:t>
      </w:r>
      <w:r>
        <w:rPr>
          <w:rFonts w:ascii="Times New Roman" w:hAnsi="Times New Roman"/>
          <w:b/>
          <w:i w:val="false"/>
          <w:color w:val="000000"/>
          <w:sz w:val="22"/>
        </w:rPr>
        <w:t xml:space="preserve">Standards for formal education for X-ray equipment operators in bone densitometry.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38.15(1)</w:t>
      </w:r>
      <w:r>
        <w:rPr>
          <w:rFonts w:ascii="Times New Roman" w:hAnsi="Times New Roman"/>
          <w:b w:val="false"/>
          <w:i w:val="false"/>
          <w:color w:val="000000"/>
          <w:sz w:val="22"/>
        </w:rPr>
        <w:t> </w:t>
      </w:r>
      <w:r>
        <w:rPr>
          <w:rFonts w:ascii="Times New Roman" w:hAnsi="Times New Roman"/>
          <w:b w:val="false"/>
          <w:i w:val="false"/>
          <w:color w:val="000000"/>
          <w:sz w:val="22"/>
        </w:rPr>
        <w:t>The following are the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shall have at least two years of current experience in radiography and bone densitometry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clinical instructor shall have at least two years of current experience in radiography and bone densitometry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Iowa-permitted limited radiologic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an Iowa-permitted X-ray equipment operator in bone densitometry;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Clinical instructors shall be supervised by the 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shall also act as clinical instructor,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are classroom and clinical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eight hours of classroom instruction to include radiation safety, equipment operation, quality control, patient care, and anatomy.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 instruction to include positioning and a minimum of ten projections excluding the competency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 competency projections to include five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competency testing to be directly supervised by the principal or clinical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Clinical instructors to directly supervise all students before a student’s competency for the specific projection is documented and indirectly supervise after the student’s competency for the specific projection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38.15(2)</w:t>
      </w:r>
      <w:r>
        <w:rPr>
          <w:rFonts w:ascii="Times New Roman" w:hAnsi="Times New Roman"/>
          <w:b w:val="false"/>
          <w:i w:val="false"/>
          <w:color w:val="000000"/>
          <w:sz w:val="22"/>
        </w:rPr>
        <w:t> </w:t>
      </w:r>
      <w:r>
        <w:rPr>
          <w:rFonts w:ascii="Times New Roman" w:hAnsi="Times New Roman"/>
          <w:b w:val="false"/>
          <w:i w:val="false"/>
          <w:color w:val="000000"/>
          <w:sz w:val="22"/>
        </w:rPr>
        <w:t>Department approval is required before implementing any formal education or making any changes to a formal education offering.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38.15(3)</w:t>
      </w:r>
      <w:r>
        <w:rPr>
          <w:rFonts w:ascii="Times New Roman" w:hAnsi="Times New Roman"/>
          <w:b w:val="false"/>
          <w:i w:val="false"/>
          <w:color w:val="000000"/>
          <w:sz w:val="22"/>
        </w:rPr>
        <w:t> </w:t>
      </w:r>
      <w:r>
        <w:rPr>
          <w:rFonts w:ascii="Times New Roman" w:hAnsi="Times New Roman"/>
          <w:b w:val="false"/>
          <w:i w:val="false"/>
          <w:color w:val="000000"/>
          <w:sz w:val="22"/>
        </w:rPr>
        <w:t>Administrative items for all formal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audit or evaluate any aspect of the formal education or student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request further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38.15(4)</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nonrefundable $150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permit is expired six months or more, all previous exemptions from this chapter are no longer valid and the individual is subject to all requirements of subrule </w:t>
      </w:r>
      <w:hyperlink r:id="rId8">
        <w:r>
          <w:rPr>
            <w:rStyle w:val="Hyperlink"/>
            <w:rFonts w:ascii="Times New Roman" w:hAnsi="Times New Roman"/>
            <w:b w:val="false"/>
            <w:i w:val="false"/>
            <w:color w:val="000000"/>
            <w:sz w:val="22"/>
          </w:rPr>
          <w:t>38.5(1)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50.0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641—38.16</w:t>
      </w:r>
      <w:r>
        <w:rPr>
          <w:rFonts w:ascii="Times New Roman" w:hAnsi="Times New Roman"/>
          <w:b/>
          <w:i w:val="false"/>
          <w:color w:val="000000"/>
          <w:sz w:val="22"/>
        </w:rPr>
        <w:t xml:space="preserve">(136C) </w:t>
      </w:r>
      <w:r>
        <w:rPr>
          <w:rFonts w:ascii="Times New Roman" w:hAnsi="Times New Roman"/>
          <w:b/>
          <w:i w:val="false"/>
          <w:color w:val="000000"/>
          <w:sz w:val="22"/>
        </w:rPr>
        <w:t xml:space="preserve">Administrative items and grounds for 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38.16(1)</w:t>
      </w:r>
      <w:r>
        <w:rPr>
          <w:rFonts w:ascii="Times New Roman" w:hAnsi="Times New Roman"/>
          <w:b w:val="false"/>
          <w:i w:val="false"/>
          <w:color w:val="000000"/>
          <w:sz w:val="22"/>
        </w:rPr>
        <w:t> </w:t>
      </w:r>
      <w:r>
        <w:rPr>
          <w:rFonts w:ascii="Times New Roman" w:hAnsi="Times New Roman"/>
          <w:b w:val="false"/>
          <w:i w:val="false"/>
          <w:color w:val="000000"/>
          <w:sz w:val="22"/>
        </w:rPr>
        <w:t>A nonrefundable $40 fee will be assessed for each check returned for any reason. All fees for returned checks plus original fees must be paid by certified bank check or money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38.16(2)</w:t>
      </w:r>
      <w:r>
        <w:rPr>
          <w:rFonts w:ascii="Times New Roman" w:hAnsi="Times New Roman"/>
          <w:b w:val="false"/>
          <w:i w:val="false"/>
          <w:color w:val="000000"/>
          <w:sz w:val="22"/>
        </w:rPr>
        <w:t> </w:t>
      </w:r>
      <w:r>
        <w:rPr>
          <w:rFonts w:ascii="Times New Roman" w:hAnsi="Times New Roman"/>
          <w:b w:val="false"/>
          <w:i w:val="false"/>
          <w:color w:val="000000"/>
          <w:sz w:val="22"/>
        </w:rPr>
        <w:t>A permit is valid from the date of issuance until the expiration date unless otherwise revoked or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38.16(3)</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request further documentation to ensure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38.16(4)</w:t>
      </w:r>
      <w:r>
        <w:rPr>
          <w:rFonts w:ascii="Times New Roman" w:hAnsi="Times New Roman"/>
          <w:b w:val="false"/>
          <w:i w:val="false"/>
          <w:color w:val="000000"/>
          <w:sz w:val="22"/>
        </w:rPr>
        <w:t> </w:t>
      </w:r>
      <w:r>
        <w:rPr>
          <w:rFonts w:ascii="Times New Roman" w:hAnsi="Times New Roman"/>
          <w:b w:val="false"/>
          <w:i w:val="false"/>
          <w:color w:val="000000"/>
          <w:sz w:val="22"/>
        </w:rPr>
        <w:t>The permit holder shall make the permit available at the individual’s place of employment. If the permit holder works at more than one facility, a duplicate of the permit shall be kept at each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38.16(5)</w:t>
      </w:r>
      <w:r>
        <w:rPr>
          <w:rFonts w:ascii="Times New Roman" w:hAnsi="Times New Roman"/>
          <w:b w:val="false"/>
          <w:i w:val="false"/>
          <w:color w:val="000000"/>
          <w:sz w:val="22"/>
        </w:rPr>
        <w:t> </w:t>
      </w:r>
      <w:r>
        <w:rPr>
          <w:rFonts w:ascii="Times New Roman" w:hAnsi="Times New Roman"/>
          <w:b w:val="false"/>
          <w:i w:val="false"/>
          <w:color w:val="000000"/>
          <w:sz w:val="22"/>
        </w:rPr>
        <w:t>The permit holder must maintain proof of continuing education for at least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38.16(6)</w:t>
      </w:r>
      <w:r>
        <w:rPr>
          <w:rFonts w:ascii="Times New Roman" w:hAnsi="Times New Roman"/>
          <w:b w:val="false"/>
          <w:i w:val="false"/>
          <w:color w:val="000000"/>
          <w:sz w:val="22"/>
        </w:rPr>
        <w:t> </w:t>
      </w:r>
      <w:r>
        <w:rPr>
          <w:rFonts w:ascii="Times New Roman" w:hAnsi="Times New Roman"/>
          <w:b w:val="false"/>
          <w:i w:val="false"/>
          <w:color w:val="000000"/>
          <w:sz w:val="22"/>
        </w:rPr>
        <w:t>Continuing education obtained to satisfy disciplinary or enforcement action or as part of a corrective action plan cannot be reported to meet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38.16(7)</w:t>
      </w:r>
      <w:r>
        <w:rPr>
          <w:rFonts w:ascii="Times New Roman" w:hAnsi="Times New Roman"/>
          <w:b w:val="false"/>
          <w:i w:val="false"/>
          <w:color w:val="000000"/>
          <w:sz w:val="22"/>
        </w:rPr>
        <w:t> </w:t>
      </w:r>
      <w:r>
        <w:rPr>
          <w:rFonts w:ascii="Times New Roman" w:hAnsi="Times New Roman"/>
          <w:b w:val="false"/>
          <w:i w:val="false"/>
          <w:color w:val="000000"/>
          <w:sz w:val="22"/>
        </w:rPr>
        <w:t>All permit holders are subject to a department audit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641—38.17</w:t>
      </w:r>
      <w:r>
        <w:rPr>
          <w:rFonts w:ascii="Times New Roman" w:hAnsi="Times New Roman"/>
          <w:b/>
          <w:i w:val="false"/>
          <w:color w:val="000000"/>
          <w:sz w:val="22"/>
        </w:rPr>
        <w:t xml:space="preserve">(136C) </w:t>
      </w:r>
      <w:r>
        <w:rPr>
          <w:rFonts w:ascii="Times New Roman" w:hAnsi="Times New Roman"/>
          <w:b/>
          <w:i w:val="false"/>
          <w:color w:val="000000"/>
          <w:sz w:val="22"/>
        </w:rPr>
        <w:t xml:space="preserve">Rules of conduct, self-reporting requirements, and enforcement actions for all permit holders or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38.17(1)</w:t>
      </w:r>
      <w:r>
        <w:rPr>
          <w:rFonts w:ascii="Times New Roman" w:hAnsi="Times New Roman"/>
          <w:b w:val="false"/>
          <w:i w:val="false"/>
          <w:color w:val="000000"/>
          <w:sz w:val="22"/>
        </w:rPr>
        <w:t> </w:t>
      </w:r>
      <w:r>
        <w:rPr>
          <w:rFonts w:ascii="Times New Roman" w:hAnsi="Times New Roman"/>
          <w:b w:val="false"/>
          <w:i/>
          <w:color w:val="000000"/>
          <w:sz w:val="22"/>
        </w:rPr>
        <w:t xml:space="preserve">Rules of conduct. </w:t>
      </w:r>
      <w:r>
        <w:rPr>
          <w:rFonts w:ascii="Times New Roman" w:hAnsi="Times New Roman"/>
          <w:b w:val="false"/>
          <w:i w:val="false"/>
          <w:color w:val="000000"/>
          <w:sz w:val="22"/>
        </w:rPr>
        <w:t>These are mandatory standards of minimally acceptable professional conduct intended to promote the protection, safety, and comfort of patients. Any individual who fails to meet or allows any other individual to fail to meet the following standards may be subject to enforcement actions as outlined in this chapter. The following are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perform with reasonable skill and safety all procedures accepted under this chapter’s educational guidelines and allowed under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Operating as a permitted individual without meeting the applicable requirements of this chapter. This includes performing procedures not allowed under the individual’s current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report immediately to the department any individual who may be operating as a permit holder and who does not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Engaging in any practice that results in unnecessary danger to a patient’s life, health, or safety. This includes delegating or accepting the delegation of any function when the delegation or acceptance could cause unnecessary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any action that the department determines may jeopardize the health and safety of the public, other staff, or the permit holder. These actions can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misdemeanor or felony that may impair or limit the individual’s ability to perform the duties authorized by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brought against the individual in connection with a certificate or license issued from a certifying or licensing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Being found guilty of incompetence or negligence during the individual’s performance as a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Failing to conform to applicable state and federal statutes and rules. This includes any action that might place a facility in noncompliance with Iowa statutes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Practicing when there is an actual or potential inability to perform with reasonable skill and safety due to illness; due to use of alcohol, drugs, chemicals, or any other material; or as the result of any mental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any unethical conduct or conduct likely to deceive, defraud, or harm the public or demonstrating a willful or careless disregard for the health, welfare, or safety of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Revealing privileged communication from or relating to former or current patients, except as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Improperly managing patient records, including failing to maintain adequate records; failing to furnish records; or making, causing, or allowing anyone to make a false, deceptive, or misleading entry into a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Providing false or misleading information that is directly related to the care of a former or current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Interpreting or rendering a diagnosis for a physician based on a diagnostic image or prescribing medications or therapies.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immediately report to a supervisor information concerning an error made in connection with imaging, treating, or caring for a patient. This includes any departure from the normal standard of care and any behavior that is negligent.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Employing fraud or deceit to obtain, attempt to obtain or renew a permit under this chapter or in connection with a certification or license issued from a certifying or licensing entity. This includes altering documents, failing to provide complete and accurate responses or information, indicating falsely in writing that a permit is valid when that is not the case, or any form of examination subversion.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Failing to provide truthful, accurate, unaltered, or nondeceptive information related to continuing education activities to the department or a recordkeeper.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Assisting others to provide false, inaccurate, altered, or deceptive information related to continuing education to this department or a recordkeeper. This includes sharing answers, providing or using false certificates of participation, or verifying continuing education hours that have not been earned.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Failing to pay all fees or costs to meet the requirements of this chapter. Penalties for working without a current permit will be considered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respond to an audit request or failing to provide proper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Submitting false information to a facility that might place the facility in noncompliance with any federal or state statutes or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 subpoena issued by the department or failure to cooperate with an investigation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Engaging in sexual harassment of a patient, student, or supervisee. Sexual harassment includes sexual advances, sexual solicitation, requests for sexual favors, and other verbal and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Violating a statute of this state, another state, or the United States, without regard to its designation as either a felony or misdemeanor, including but not limited to a crime involving dishonesty, fraud, theft, embezzlement, controlled substances, substance abuse, assault, sexual abuse, sexual misconduct, or homicide. A copy of the record of conviction or plea of guilty is conclusive evidence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Having a permit, license, or certification related to the classification of the permit issued to the individual suspended or revoked or having other disciplinary action taken by a licensing or certifying authority of this state or another state, territory, or country. A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Failing to respond within 30 days of receipt of communication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38.17(2)</w:t>
      </w:r>
      <w:r>
        <w:rPr>
          <w:rFonts w:ascii="Times New Roman" w:hAnsi="Times New Roman"/>
          <w:b w:val="false"/>
          <w:i w:val="false"/>
          <w:color w:val="000000"/>
          <w:sz w:val="22"/>
        </w:rPr>
        <w:t> </w:t>
      </w:r>
      <w:r>
        <w:rPr>
          <w:rFonts w:ascii="Times New Roman" w:hAnsi="Times New Roman"/>
          <w:b w:val="false"/>
          <w:i/>
          <w:color w:val="000000"/>
          <w:sz w:val="22"/>
        </w:rPr>
        <w:t xml:space="preserve">Self-reporting. </w:t>
      </w:r>
      <w:r>
        <w:rPr>
          <w:rFonts w:ascii="Times New Roman" w:hAnsi="Times New Roman"/>
          <w:b w:val="false"/>
          <w:i w:val="false"/>
          <w:color w:val="000000"/>
          <w:sz w:val="22"/>
        </w:rPr>
        <w:t>Each permit holder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report to the department within five days of the final disposition of all criminal proceedings, convictions, or military court-martials involving alcohol or illegal drug use while operating as a permit holder; sex-related infractions; or patient-related infractions in any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written report to the department within five days of the initial charge and within five days of the final disposition of any disciplinary action brought against the individual in connection with a certificate or license issued from a certifying or licensing entity, or any disciplinary action brought against the individual by an employer or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 potential ethics violations (including state licensing issues and criminal charges and convictions) within 30 days of the occurrence or during the permit holder’s annual renewal process,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38.17(3)</w:t>
      </w:r>
      <w:r>
        <w:rPr>
          <w:rFonts w:ascii="Times New Roman" w:hAnsi="Times New Roman"/>
          <w:b w:val="false"/>
          <w:i w:val="false"/>
          <w:color w:val="000000"/>
          <w:sz w:val="22"/>
        </w:rPr>
        <w:t> </w:t>
      </w:r>
      <w:r>
        <w:rPr>
          <w:rFonts w:ascii="Times New Roman" w:hAnsi="Times New Roman"/>
          <w:b w:val="false"/>
          <w:i/>
          <w:color w:val="000000"/>
          <w:sz w:val="22"/>
        </w:rPr>
        <w:t xml:space="preserve">Enforcement actions. </w:t>
      </w:r>
      <w:r>
        <w:rPr>
          <w:rFonts w:ascii="Times New Roman" w:hAnsi="Times New Roman"/>
          <w:b w:val="false"/>
          <w:i w:val="false"/>
          <w:color w:val="000000"/>
          <w:sz w:val="22"/>
        </w:rPr>
        <w:t>Enforcement actions may include but are not limited to denial, probation, suspension or revocation of a permit, directed corrective action, and civil penalty.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641—38.18</w:t>
      </w:r>
      <w:r>
        <w:rPr>
          <w:rFonts w:ascii="Times New Roman" w:hAnsi="Times New Roman"/>
          <w:b/>
          <w:i w:val="false"/>
          <w:color w:val="000000"/>
          <w:sz w:val="22"/>
        </w:rPr>
        <w:t xml:space="preserve">(136C) </w:t>
      </w:r>
      <w:r>
        <w:rPr>
          <w:rFonts w:ascii="Times New Roman" w:hAnsi="Times New Roman"/>
          <w:b/>
          <w:i w:val="false"/>
          <w:color w:val="000000"/>
          <w:sz w:val="22"/>
        </w:rPr>
        <w:t xml:space="preserve">Procedures for demand for information, notice of proposed action, and orders for penalties, suspensions, revocations, and civil penalties for all individuals under this chapter. </w:t>
      </w:r>
      <w:r>
        <w:rPr>
          <w:rFonts w:ascii="Times New Roman" w:hAnsi="Times New Roman"/>
          <w:b w:val="false"/>
          <w:i w:val="false"/>
          <w:color w:val="000000"/>
          <w:sz w:val="22"/>
        </w:rPr>
        <w:t>These actions may be imposed on any permit holder who violates any rule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38.18(1)</w:t>
      </w:r>
      <w:r>
        <w:rPr>
          <w:rFonts w:ascii="Times New Roman" w:hAnsi="Times New Roman"/>
          <w:b w:val="false"/>
          <w:i w:val="false"/>
          <w:color w:val="000000"/>
          <w:sz w:val="22"/>
        </w:rPr>
        <w:t> </w:t>
      </w:r>
      <w:r>
        <w:rPr>
          <w:rFonts w:ascii="Times New Roman" w:hAnsi="Times New Roman"/>
          <w:b w:val="false"/>
          <w:i/>
          <w:color w:val="000000"/>
          <w:sz w:val="22"/>
        </w:rPr>
        <w:t xml:space="preserve">Demand for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 demand for information for the purpose of determining whether any further action will be taken. The demand will state the alleged violations and allow the individual 20 days from the date of the letter to file a written answer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must file a written answer to the department. The answer shall specifically admit or deny each allegation or charge made in the demand for information and provide fact and law on which the answer relies; set forth reasons why the demand should not have been issued; and if the requested information is not provided, the reasons why it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review of the answer, the department may institute the next level of proceeding or consider the matter closed. If no answer is filed, the department will institute the notice of proposed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38.18(2)</w:t>
      </w:r>
      <w:r>
        <w:rPr>
          <w:rFonts w:ascii="Times New Roman" w:hAnsi="Times New Roman"/>
          <w:b w:val="false"/>
          <w:i w:val="false"/>
          <w:color w:val="000000"/>
          <w:sz w:val="22"/>
        </w:rPr>
        <w:t> </w:t>
      </w:r>
      <w:r>
        <w:rPr>
          <w:rFonts w:ascii="Times New Roman" w:hAnsi="Times New Roman"/>
          <w:b w:val="false"/>
          <w:i/>
          <w:color w:val="000000"/>
          <w:sz w:val="22"/>
        </w:rPr>
        <w:t xml:space="preserve">Procedures for enforcement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response to an alleged violation of any provision of the Iowa Code, these rules, or any order issued by the department, the department may issue a written notice of proposed action. The notice of proposed action will concisely state the alleged violation(s), the action the department is proposing, the time period in which a written response must be received, and the process for requesting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response has to state any facts, explanations, or arguments denying the violations or demonstrate any extenuating circumstances, error in the notice, or other reason why the proposed action should not be imposed. Responses may also request remission or mitigation of any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request for a hearing is received within the allotted time period, the proposed action is to be suspended pending the outcome of the hearing. Prior to or at the hearing, the department may rescind the notice of proposed action upon satisfaction that the reason for the proposed action has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no answer is filed, the department will institute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An order may be issued upon response to the notice of proposed action or if no answer to the notice has been filed. The order may institute a proceeding to impose a penalty or suspend, revoke, or place on probation the individual’s permit or issue a civil penalty. An order will concisely state the violation(s), the action the department has imposed, the effective date of the order, the time period for written response to be received by the department, and the process for requesting a hearing. If there has been consent in writing to the notice of proposed action, no written response to the order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request for a hearing is received within the allotted time period, the proposed action of the order is suspended pending the outcome of the hearing. Prior to or at the hearing, the department may rescind the order upon satisfaction that the reason for the proposed action has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answer is filed, the department will institute the order. A consent to the order constitutes a waiver to a hearing, findings of fact and conclusions of law, and of all right to seek department and judicial review or to contest the validity of the order in any form as to those matters that have been consented to or agreed to or on which a hearing has not been requested. An order that has been consented to has the same force and effect as an order made after hearing by a presiding officer or the department and is effective as provided in the order. Failure to comply with an order either consented to or validated by a hearing officer will result in further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Civil penalty. </w:t>
      </w:r>
      <w:r>
        <w:rPr>
          <w:rFonts w:ascii="Times New Roman" w:hAnsi="Times New Roman"/>
          <w:b w:val="false"/>
          <w:i w:val="false"/>
          <w:color w:val="000000"/>
          <w:sz w:val="22"/>
        </w:rPr>
        <w:t>Before instituting any proceeding to impose a civil penalty, the department will serve written notice of violation upon the individual charged. This notice will be included in the notice of proposed action or order issued. The notice of proposed action or order specifies the amount of each proposed penalty for each alleged violation. The notice or order will state that the amount charged may be paid as specified or protested in its entirety or in part. Upon final action of a civil penalty, payment must be made within the specified time stated in the order or the department may refer the matter to the attorney general for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Settlement and compromise. </w:t>
      </w:r>
      <w:r>
        <w:rPr>
          <w:rFonts w:ascii="Times New Roman" w:hAnsi="Times New Roman"/>
          <w:b w:val="false"/>
          <w:i w:val="false"/>
          <w:color w:val="000000"/>
          <w:sz w:val="22"/>
        </w:rPr>
        <w:t>At any time after the issuance of a notice or order designating the time and place of hearing in response to an order, the department and the regulated individual may enter into a stipulation for a settlement or compromise of the notice or order. The stipulation of compromise shall be subject to approval by the designated presiding officer or, if none has been designated, by the chief administrative law judge. The presiding officer or chief administrative law judge may order such adjudication of the issued notice or order as deemed to be in the public interest to dispose of the proceeding. If approved, the terms of the settlement or compromise shall be embodied in a decision or order settling and discontinuing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136C.3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136C.5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136C.10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136C.14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4/7/80, Notice 2/6/80—published 4/30/80, effective 7/1/80]</w:t>
      </w:r>
    </w:p>
    <w:p>
      <w:pPr>
        <w:spacing w:before="0" w:after="0"/>
        <w:ind w:left="120"/>
        <w:jc w:val="center"/>
      </w:pPr>
      <w:r>
        <w:rPr>
          <w:rFonts w:ascii="Times New Roman" w:hAnsi="Times New Roman"/>
          <w:b w:val="false"/>
          <w:i w:val="false"/>
          <w:color w:val="000000"/>
          <w:sz w:val="21"/>
        </w:rPr>
        <w:t>[Filed 5/17/85, Notice 2/7/85—published 6/5/85, effective, see rule 38.18]</w:t>
      </w:r>
    </w:p>
    <w:p>
      <w:pPr>
        <w:spacing w:before="0" w:after="0"/>
        <w:ind w:left="120"/>
        <w:jc w:val="center"/>
      </w:pPr>
      <w:r>
        <w:rPr>
          <w:rFonts w:ascii="Times New Roman" w:hAnsi="Times New Roman"/>
          <w:b w:val="false"/>
          <w:i w:val="false"/>
          <w:color w:val="000000"/>
          <w:sz w:val="21"/>
        </w:rPr>
        <w:t>[Filed 11/24/86, Notice 10/8/86—published 12/17/86, effective 1/21/87]</w:t>
      </w:r>
    </w:p>
    <w:p>
      <w:pPr>
        <w:spacing w:before="0" w:after="0"/>
        <w:ind w:left="120"/>
        <w:jc w:val="center"/>
      </w:pPr>
      <w:r>
        <w:rPr>
          <w:rFonts w:ascii="Times New Roman" w:hAnsi="Times New Roman"/>
          <w:b w:val="false"/>
          <w:i w:val="false"/>
          <w:color w:val="000000"/>
          <w:sz w:val="21"/>
        </w:rPr>
        <w:t>[Filed 11/6/87, Notice 9/23/87—published 12/2/87, effective 1/6/88]</w:t>
      </w:r>
    </w:p>
    <w:p>
      <w:pPr>
        <w:spacing w:before="0" w:after="0"/>
        <w:ind w:left="120"/>
        <w:jc w:val="center"/>
      </w:pPr>
      <w:r>
        <w:rPr>
          <w:rFonts w:ascii="Times New Roman" w:hAnsi="Times New Roman"/>
          <w:b w:val="false"/>
          <w:i w:val="false"/>
          <w:color w:val="000000"/>
          <w:sz w:val="21"/>
        </w:rPr>
        <w:t>[Filed 9/30/88, Notice 8/10/88—published 10/19/88, effective 11/23/88]</w:t>
      </w:r>
    </w:p>
    <w:p>
      <w:pPr>
        <w:spacing w:before="0" w:after="0"/>
        <w:ind w:left="120"/>
        <w:jc w:val="center"/>
      </w:pPr>
      <w:r>
        <w:rPr>
          <w:rFonts w:ascii="Times New Roman" w:hAnsi="Times New Roman"/>
          <w:b w:val="false"/>
          <w:i w:val="false"/>
          <w:color w:val="000000"/>
          <w:sz w:val="21"/>
        </w:rPr>
        <w:t>[Filed emergency 11/9/89 after Notice 10/4/89—published 11/29/89, effective 11/9/89]</w:t>
      </w:r>
    </w:p>
    <w:p>
      <w:pPr>
        <w:spacing w:before="0" w:after="0"/>
        <w:ind w:left="120"/>
        <w:jc w:val="center"/>
      </w:pPr>
      <w:r>
        <w:rPr>
          <w:rFonts w:ascii="Times New Roman" w:hAnsi="Times New Roman"/>
          <w:b w:val="false"/>
          <w:i w:val="false"/>
          <w:color w:val="000000"/>
          <w:sz w:val="21"/>
        </w:rPr>
        <w:t>[Filed 1/14/91, Notice 10/17/90—published 2/6/91, effective 3/13/91]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5/10/91, Notice 4/3/91—published 5/29/91, effective 8/28/91]</w:t>
      </w:r>
    </w:p>
    <w:p>
      <w:pPr>
        <w:spacing w:before="0" w:after="0"/>
        <w:ind w:left="120"/>
        <w:jc w:val="center"/>
      </w:pPr>
      <w:r>
        <w:rPr>
          <w:rFonts w:ascii="Times New Roman" w:hAnsi="Times New Roman"/>
          <w:b w:val="false"/>
          <w:i w:val="false"/>
          <w:color w:val="000000"/>
          <w:sz w:val="21"/>
        </w:rPr>
        <w:t>[Filed 5/8/92, Notice 4/1/92—published 5/27/92, effective 7/1/92]</w:t>
      </w:r>
    </w:p>
    <w:p>
      <w:pPr>
        <w:spacing w:before="0" w:after="0"/>
        <w:ind w:left="120"/>
        <w:jc w:val="center"/>
      </w:pPr>
      <w:r>
        <w:rPr>
          <w:rFonts w:ascii="Times New Roman" w:hAnsi="Times New Roman"/>
          <w:b w:val="false"/>
          <w:i w:val="false"/>
          <w:color w:val="000000"/>
          <w:sz w:val="21"/>
        </w:rPr>
        <w:t>[Filed 7/16/92, Notice 5/27/92—published 8/5/92, effective 9/9/92]</w:t>
      </w:r>
    </w:p>
    <w:p>
      <w:pPr>
        <w:spacing w:before="0" w:after="0"/>
        <w:ind w:left="120"/>
        <w:jc w:val="center"/>
      </w:pPr>
      <w:r>
        <w:rPr>
          <w:rFonts w:ascii="Times New Roman" w:hAnsi="Times New Roman"/>
          <w:b w:val="false"/>
          <w:i w:val="false"/>
          <w:color w:val="000000"/>
          <w:sz w:val="21"/>
        </w:rPr>
        <w:t>[Filed emergency 8/14/92—published 9/2/92, effective 9/9/92]</w:t>
      </w:r>
    </w:p>
    <w:p>
      <w:pPr>
        <w:spacing w:before="0" w:after="0"/>
        <w:ind w:left="120"/>
        <w:jc w:val="center"/>
      </w:pPr>
      <w:r>
        <w:rPr>
          <w:rFonts w:ascii="Times New Roman" w:hAnsi="Times New Roman"/>
          <w:b w:val="false"/>
          <w:i w:val="false"/>
          <w:color w:val="000000"/>
          <w:sz w:val="21"/>
        </w:rPr>
        <w:t>[Filed emergency 9/14/92 after Notice 7/22/92—published 9/30/92, effective 10/1/92]</w:t>
      </w:r>
    </w:p>
    <w:p>
      <w:pPr>
        <w:spacing w:before="0" w:after="0"/>
        <w:ind w:left="120"/>
        <w:jc w:val="center"/>
      </w:pPr>
      <w:r>
        <w:rPr>
          <w:rFonts w:ascii="Times New Roman" w:hAnsi="Times New Roman"/>
          <w:b w:val="false"/>
          <w:i w:val="false"/>
          <w:color w:val="000000"/>
          <w:sz w:val="21"/>
        </w:rPr>
        <w:t>[Filed 11/5/92, Notice 9/30/92—published 11/25/92, effective 1/13/93]</w:t>
      </w:r>
    </w:p>
    <w:p>
      <w:pPr>
        <w:spacing w:before="0" w:after="0"/>
        <w:ind w:left="120"/>
        <w:jc w:val="center"/>
      </w:pPr>
      <w:r>
        <w:rPr>
          <w:rFonts w:ascii="Times New Roman" w:hAnsi="Times New Roman"/>
          <w:b w:val="false"/>
          <w:i w:val="false"/>
          <w:color w:val="000000"/>
          <w:sz w:val="21"/>
        </w:rPr>
        <w:t>[Filed 9/17/93, Notice 8/4/93—published 10/13/93, effective 1/1/94]</w:t>
      </w:r>
    </w:p>
    <w:p>
      <w:pPr>
        <w:spacing w:before="0" w:after="0"/>
        <w:ind w:left="120"/>
        <w:jc w:val="center"/>
      </w:pPr>
      <w:r>
        <w:rPr>
          <w:rFonts w:ascii="Times New Roman" w:hAnsi="Times New Roman"/>
          <w:b w:val="false"/>
          <w:i w:val="false"/>
          <w:color w:val="000000"/>
          <w:sz w:val="21"/>
        </w:rPr>
        <w:t>[Filed emergency 11/15/93—published 12/8/93, effective 11/15/93]</w:t>
      </w:r>
    </w:p>
    <w:p>
      <w:pPr>
        <w:spacing w:before="0" w:after="0"/>
        <w:ind w:left="120"/>
        <w:jc w:val="center"/>
      </w:pPr>
      <w:r>
        <w:rPr>
          <w:rFonts w:ascii="Times New Roman" w:hAnsi="Times New Roman"/>
          <w:b w:val="false"/>
          <w:i w:val="false"/>
          <w:color w:val="000000"/>
          <w:sz w:val="21"/>
        </w:rPr>
        <w:t>[Filed 7/14/94, Notice 6/8/94—published 8/3/94, effective 9/7/94]</w:t>
      </w:r>
    </w:p>
    <w:p>
      <w:pPr>
        <w:spacing w:before="0" w:after="0"/>
        <w:ind w:left="120"/>
        <w:jc w:val="center"/>
      </w:pPr>
      <w:r>
        <w:rPr>
          <w:rFonts w:ascii="Times New Roman" w:hAnsi="Times New Roman"/>
          <w:b w:val="false"/>
          <w:i w:val="false"/>
          <w:color w:val="000000"/>
          <w:sz w:val="21"/>
        </w:rPr>
        <w:t>[Filed 5/15/95, Notice 3/29/95—published 6/7/95, effective 7/12/95]</w:t>
      </w:r>
    </w:p>
    <w:p>
      <w:pPr>
        <w:spacing w:before="0" w:after="0"/>
        <w:ind w:left="120"/>
        <w:jc w:val="center"/>
      </w:pPr>
      <w:r>
        <w:rPr>
          <w:rFonts w:ascii="Times New Roman" w:hAnsi="Times New Roman"/>
          <w:b w:val="false"/>
          <w:i w:val="false"/>
          <w:color w:val="000000"/>
          <w:sz w:val="21"/>
        </w:rPr>
        <w:t>[Filed 1/11/96, Notice 10/11/95—published 1/31/96, effective 3/6/96]</w:t>
      </w:r>
    </w:p>
    <w:p>
      <w:pPr>
        <w:spacing w:before="0" w:after="0"/>
        <w:ind w:left="120"/>
        <w:jc w:val="center"/>
      </w:pPr>
      <w:r>
        <w:rPr>
          <w:rFonts w:ascii="Times New Roman" w:hAnsi="Times New Roman"/>
          <w:b w:val="false"/>
          <w:i w:val="false"/>
          <w:color w:val="000000"/>
          <w:sz w:val="21"/>
        </w:rPr>
        <w:t>[Filed 3/15/96, Notice 1/31/96—published 4/10/96, effective 5/15/96]</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2/26/98, Notice 9/10/97—published 3/25/98, effective 4/29/98]</w:t>
      </w:r>
    </w:p>
    <w:p>
      <w:pPr>
        <w:spacing w:before="0" w:after="0"/>
        <w:ind w:left="120"/>
        <w:jc w:val="center"/>
      </w:pPr>
      <w:r>
        <w:rPr>
          <w:rFonts w:ascii="Times New Roman" w:hAnsi="Times New Roman"/>
          <w:b w:val="false"/>
          <w:i w:val="false"/>
          <w:color w:val="000000"/>
          <w:sz w:val="21"/>
        </w:rPr>
        <w:t>[Filed 3/18/98, Notice 1/14/98—published 4/8/98, effective 7/1/98]</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5/10/01, Notice 4/4/01—published 5/30/01, effective 7/4/01]</w:t>
      </w:r>
    </w:p>
    <w:p>
      <w:pPr>
        <w:spacing w:before="0" w:after="0"/>
        <w:ind w:left="120"/>
        <w:jc w:val="center"/>
      </w:pPr>
      <w:r>
        <w:rPr>
          <w:rFonts w:ascii="Times New Roman" w:hAnsi="Times New Roman"/>
          <w:b w:val="false"/>
          <w:i w:val="false"/>
          <w:color w:val="000000"/>
          <w:sz w:val="21"/>
        </w:rPr>
        <w:t>[Filed without Notice 1/10/02—published 2/6/02, effective 3/14/02]</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11/17/03, Notice 10/1/03—published 12/10/03, effective 1/14/04]</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8982B</w:t>
      </w:r>
      <w:r>
        <w:rPr>
          <w:rFonts w:ascii="Times New Roman" w:hAnsi="Times New Roman"/>
          <w:b w:val="false"/>
          <w:i w:val="false"/>
          <w:color w:val="000000"/>
          <w:sz w:val="21"/>
        </w:rPr>
        <w:t xml:space="preserve"> (Notice ARC 8762B,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0577C</w:t>
      </w:r>
      <w:r>
        <w:rPr>
          <w:rFonts w:ascii="Times New Roman" w:hAnsi="Times New Roman"/>
          <w:b w:val="false"/>
          <w:i w:val="false"/>
          <w:color w:val="000000"/>
          <w:sz w:val="21"/>
        </w:rPr>
        <w:t xml:space="preserve"> (Notice ARC 0381C, IAB 10/3/12)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1479C</w:t>
      </w:r>
      <w:r>
        <w:rPr>
          <w:rFonts w:ascii="Times New Roman" w:hAnsi="Times New Roman"/>
          <w:b w:val="false"/>
          <w:i w:val="false"/>
          <w:color w:val="000000"/>
          <w:sz w:val="21"/>
        </w:rPr>
        <w:t xml:space="preserve"> (Notice ARC 1414C,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1639C</w:t>
      </w:r>
      <w:r>
        <w:rPr>
          <w:rFonts w:ascii="Times New Roman" w:hAnsi="Times New Roman"/>
          <w:b w:val="false"/>
          <w:i w:val="false"/>
          <w:color w:val="000000"/>
          <w:sz w:val="21"/>
        </w:rPr>
        <w:t xml:space="preserve"> (Notice ARC 1470C, IAB 5/28/14)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3746C</w:t>
      </w:r>
      <w:r>
        <w:rPr>
          <w:rFonts w:ascii="Times New Roman" w:hAnsi="Times New Roman"/>
          <w:b w:val="false"/>
          <w:i w:val="false"/>
          <w:color w:val="000000"/>
          <w:sz w:val="21"/>
        </w:rPr>
        <w:t xml:space="preserve"> (Notice ARC 3578C,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4612C</w:t>
      </w:r>
      <w:r>
        <w:rPr>
          <w:rFonts w:ascii="Times New Roman" w:hAnsi="Times New Roman"/>
          <w:b w:val="false"/>
          <w:i w:val="false"/>
          <w:color w:val="000000"/>
          <w:sz w:val="21"/>
        </w:rPr>
        <w:t xml:space="preserve"> (Notice ARC 4446C, IAB 5/22/19)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5059C</w:t>
      </w:r>
      <w:r>
        <w:rPr>
          <w:rFonts w:ascii="Times New Roman" w:hAnsi="Times New Roman"/>
          <w:b w:val="false"/>
          <w:i w:val="false"/>
          <w:color w:val="000000"/>
          <w:sz w:val="21"/>
        </w:rPr>
        <w:t xml:space="preserve"> (Notice ARC 4856C, IAB 1/15/20)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6164C</w:t>
      </w:r>
      <w:r>
        <w:rPr>
          <w:rFonts w:ascii="Times New Roman" w:hAnsi="Times New Roman"/>
          <w:b w:val="false"/>
          <w:i w:val="false"/>
          <w:color w:val="000000"/>
          <w:sz w:val="21"/>
        </w:rPr>
        <w:t xml:space="preserve"> (Notice ARC 6051C,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0288D</w:t>
      </w:r>
      <w:r>
        <w:rPr>
          <w:rFonts w:ascii="Times New Roman" w:hAnsi="Times New Roman"/>
          <w:b w:val="false"/>
          <w:i w:val="false"/>
          <w:color w:val="000000"/>
          <w:sz w:val="21"/>
        </w:rPr>
        <w:t xml:space="preserve"> (Amended Notice ARC 0082D, IAB 3/4/26; </w:t>
      </w:r>
      <w:r>
        <w:rPr>
          <w:rFonts w:ascii="Times New Roman" w:hAnsi="Times New Roman"/>
          <w:b w:val="false"/>
          <w:i w:val="false"/>
          <w:color w:val="000000"/>
          <w:sz w:val="21"/>
        </w:rPr>
        <w:t>Notice ARC 9773C, IAB 11/26/25)</w:t>
      </w:r>
      <w:r>
        <w:rPr>
          <w:rFonts w:ascii="Times New Roman" w:hAnsi="Times New Roman"/>
          <w:b w:val="false"/>
          <w:i w:val="false"/>
          <w:color w:val="000000"/>
          <w:sz w:val="21"/>
        </w:rPr>
        <w:t>, IAB 5/13/26, effective 7/1/26]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38.8(11) delayed 70 days from May 9, 2001, by the Administrative Rules Review Committee at its meeting held May 4, 2001.</w:t>
      </w:r>
      <w:r>
        <w:br/>
      </w:r>
      <w:r>
        <w:rPr>
          <w:rFonts w:ascii="Times New Roman" w:hAnsi="Times New Roman"/>
          <w:b w:val="false"/>
          <w:i w:val="false"/>
          <w:color w:val="000000"/>
          <w:sz w:val="22"/>
        </w:rPr>
        <w:t>At its meeting held July 10, 2001, the Committee delayed the effective date until adjournment of the 2002 Session of the General Assembly.</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39.pdf" Type="http://schemas.openxmlformats.org/officeDocument/2006/relationships/hyperlink" Id="rId5"/>
    <Relationship TargetMode="External" Target="https://www.legis.iowa.gov/docs/ico/chapter/136C.pdf" Type="http://schemas.openxmlformats.org/officeDocument/2006/relationships/hyperlink" Id="rId6"/>
    <Relationship TargetMode="External" Target="https://www.legis.iowa.gov/docs/iac/chapter/441.6.pdf" Type="http://schemas.openxmlformats.org/officeDocument/2006/relationships/hyperlink" Id="rId7"/>
    <Relationship TargetMode="External" Target="https://www.legis.iowa.gov/docs/iac/rule/641.38.5.pdf" Type="http://schemas.openxmlformats.org/officeDocument/2006/relationships/hyperlink" Id="rId8"/>
    <Relationship TargetMode="External" Target="https://www.legis.iowa.gov/docs/ico/chapter/136C.3.pdf" Type="http://schemas.openxmlformats.org/officeDocument/2006/relationships/hyperlink" Id="rId9"/>
    <Relationship TargetMode="External" Target="https://www.legis.iowa.gov/docs/ico/chapter/136C.4.pdf" Type="http://schemas.openxmlformats.org/officeDocument/2006/relationships/hyperlink" Id="rId10"/>
    <Relationship TargetMode="External" Target="https://www.legis.iowa.gov/docs/ico/chapter/136C.5.pdf" Type="http://schemas.openxmlformats.org/officeDocument/2006/relationships/hyperlink" Id="rId11"/>
    <Relationship TargetMode="External" Target="https://www.legis.iowa.gov/docs/ico/chapter/136C.10.pdf" Type="http://schemas.openxmlformats.org/officeDocument/2006/relationships/hyperlink" Id="rId12"/>
    <Relationship TargetMode="External" Target="https://www.legis.iowa.gov/docs/ico/chapter/136C.14.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