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196</w:t>
      </w:r>
    </w:p>
    <w:p>
      <w:pPr>
        <w:spacing w:before="0" w:after="0"/>
        <w:ind w:left="120"/>
        <w:jc w:val="center"/>
      </w:pPr>
      <w:r>
        <w:rPr>
          <w:rFonts w:ascii="Times New Roman" w:hAnsi="Times New Roman"/>
          <w:b w:val="false"/>
          <w:i w:val="false"/>
          <w:color w:val="000000"/>
          <w:sz w:val="21"/>
        </w:rPr>
        <w:t xml:space="preserve">EMERGENCY MEDICAL SERVICES—MILITARY SERVICE, VETERAN RECIPROCITY, </w:t>
      </w:r>
      <w:r>
        <w:br/>
      </w:r>
      <w:r>
        <w:rPr>
          <w:rFonts w:ascii="Times New Roman" w:hAnsi="Times New Roman"/>
          <w:b w:val="false"/>
          <w:i w:val="false"/>
          <w:color w:val="000000"/>
          <w:sz w:val="21"/>
        </w:rPr>
        <w:t>AND SPOUSES OF ACTIVE DUTY SERVICE MEMBERS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8/14/29</w:t>
      </w:r>
    </w:p>
    <w:p>
      <w:pPr>
        <w:spacing w:before="0" w:after="0"/>
        <w:ind w:left="120"/>
        <w:jc w:val="both"/>
      </w:pPr>
      <w:r>
        <w:rPr>
          <w:rFonts w:ascii="Times New Roman" w:hAnsi="Times New Roman"/>
          <w:b/>
          <w:i w:val="false"/>
          <w:color w:val="000000"/>
          <w:sz w:val="22"/>
        </w:rPr>
        <w:t>641—196.1</w:t>
      </w:r>
      <w:r>
        <w:rPr>
          <w:rFonts w:ascii="Times New Roman" w:hAnsi="Times New Roman"/>
          <w:b/>
          <w:i w:val="false"/>
          <w:color w:val="000000"/>
          <w:sz w:val="22"/>
        </w:rPr>
        <w:t xml:space="preserve">(272C)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272D.1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“Licensing authority”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272D.1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“Military service”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honorably serving on federal active duty, state active duty, or national guard duty, as defined in Iowa Code section </w:t>
      </w:r>
      <w:hyperlink r:id="rId7">
        <w:r>
          <w:rPr>
            <w:rStyle w:val="Hyperlink"/>
            <w:rFonts w:ascii="Times New Roman" w:hAnsi="Times New Roman"/>
            <w:b w:val="false"/>
            <w:i w:val="false"/>
            <w:color w:val="000000"/>
            <w:sz w:val="22"/>
          </w:rPr>
          <w:t>29A.1</w:t>
        </w:r>
      </w:hyperlink>
      <w:r>
        <w:rPr>
          <w:rFonts w:ascii="Times New Roman" w:hAnsi="Times New Roman"/>
          <w:b w:val="false"/>
          <w:i w:val="false"/>
          <w:color w:val="000000"/>
          <w:sz w:val="22"/>
        </w:rPr>
        <w:t>; in the military services of other states, as provided in 10 U.S.C. Section 101(c) (2021); or in the organized reserves of the United States, as provided in 10 U.S.C. Section 10101 (2006).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“Military service applicant”</w:t>
      </w:r>
      <w:r>
        <w:rPr>
          <w:rFonts w:ascii="Times New Roman" w:hAnsi="Times New Roman"/>
          <w:b w:val="false"/>
          <w:i w:val="false"/>
          <w:color w:val="000000"/>
          <w:sz w:val="22"/>
        </w:rPr>
        <w:t> </w:t>
      </w:r>
      <w:r>
        <w:rPr>
          <w:rFonts w:ascii="Times New Roman" w:hAnsi="Times New Roman"/>
          <w:b w:val="false"/>
          <w:i w:val="false"/>
          <w:color w:val="000000"/>
          <w:sz w:val="22"/>
        </w:rPr>
        <w:t>means an individual requesting credit toward licensure for military education, training, or service obtained or completed in military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“Spouse”</w:t>
      </w:r>
      <w:r>
        <w:rPr>
          <w:rFonts w:ascii="Times New Roman" w:hAnsi="Times New Roman"/>
          <w:b w:val="false"/>
          <w:i w:val="false"/>
          <w:color w:val="000000"/>
          <w:sz w:val="22"/>
        </w:rPr>
        <w:t> </w:t>
      </w:r>
      <w:r>
        <w:rPr>
          <w:rFonts w:ascii="Times New Roman" w:hAnsi="Times New Roman"/>
          <w:b w:val="false"/>
          <w:i w:val="false"/>
          <w:color w:val="000000"/>
          <w:sz w:val="22"/>
        </w:rPr>
        <w:t>means a spouse of an active duty member of the military forces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“Veteran”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35.1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8128C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641—196.2</w:t>
      </w:r>
      <w:r>
        <w:rPr>
          <w:rFonts w:ascii="Times New Roman" w:hAnsi="Times New Roman"/>
          <w:b/>
          <w:i w:val="false"/>
          <w:color w:val="000000"/>
          <w:sz w:val="22"/>
        </w:rPr>
        <w:t xml:space="preserve">(272C,147D) </w:t>
      </w:r>
      <w:r>
        <w:rPr>
          <w:rFonts w:ascii="Times New Roman" w:hAnsi="Times New Roman"/>
          <w:b/>
          <w:i w:val="false"/>
          <w:color w:val="000000"/>
          <w:sz w:val="22"/>
        </w:rPr>
        <w:t xml:space="preserve">Military education, training, and service credit. </w:t>
      </w:r>
      <w:r>
        <w:rPr>
          <w:rFonts w:ascii="Times New Roman" w:hAnsi="Times New Roman"/>
          <w:b w:val="false"/>
          <w:i w:val="false"/>
          <w:color w:val="000000"/>
          <w:sz w:val="22"/>
        </w:rPr>
        <w:t>A military service applicant may apply for credit for verified military education, training, or service toward any experience or educational requirement for licensure by submitting a military service application form to the licensing authority. No fee is required with submission of an application for military service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licensing authority shall grant credit requested in the application pursuant to the emergency medical services (EMS) personnel licensure interstate compact described in Iowa Code section </w:t>
      </w:r>
      <w:hyperlink r:id="rId9">
        <w:r>
          <w:rPr>
            <w:rStyle w:val="Hyperlink"/>
            <w:rFonts w:ascii="Times New Roman" w:hAnsi="Times New Roman"/>
            <w:b w:val="false"/>
            <w:i w:val="false"/>
            <w:color w:val="000000"/>
            <w:sz w:val="22"/>
          </w:rPr>
          <w:t>147D.1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196.2(2)</w:t>
      </w:r>
      <w:r>
        <w:rPr>
          <w:rFonts w:ascii="Times New Roman" w:hAnsi="Times New Roman"/>
          <w:b w:val="false"/>
          <w:i w:val="false"/>
          <w:color w:val="000000"/>
          <w:sz w:val="22"/>
        </w:rPr>
        <w:t> </w:t>
      </w:r>
      <w:r>
        <w:rPr>
          <w:rFonts w:ascii="Times New Roman" w:hAnsi="Times New Roman"/>
          <w:b w:val="false"/>
          <w:i w:val="false"/>
          <w:color w:val="000000"/>
          <w:sz w:val="22"/>
        </w:rPr>
        <w:t>The licensing authority shall inform the military service applicant in writing of the credit, if any, given toward an experience or educational qualification for licensure or explain why no credit was granted. The applicant may request reconsideration upon submission of additional documentation or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196.2(3)</w:t>
      </w:r>
      <w:r>
        <w:rPr>
          <w:rFonts w:ascii="Times New Roman" w:hAnsi="Times New Roman"/>
          <w:b w:val="false"/>
          <w:i w:val="false"/>
          <w:color w:val="000000"/>
          <w:sz w:val="22"/>
        </w:rPr>
        <w:t> </w:t>
      </w:r>
      <w:r>
        <w:rPr>
          <w:rFonts w:ascii="Times New Roman" w:hAnsi="Times New Roman"/>
          <w:b w:val="false"/>
          <w:i w:val="false"/>
          <w:color w:val="000000"/>
          <w:sz w:val="22"/>
        </w:rPr>
        <w:t xml:space="preserve">A military service applicant who is aggrieved by the licensing authority’s decision may appeal pursuant to the provisions of </w:t>
      </w:r>
      <w:hyperlink r:id="rId10">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except that no fees or costs shall be assessed against the military service applicant in connection with a contested case conducted pursuant to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196.2(4)</w:t>
      </w:r>
      <w:r>
        <w:rPr>
          <w:rFonts w:ascii="Times New Roman" w:hAnsi="Times New Roman"/>
          <w:b w:val="false"/>
          <w:i w:val="false"/>
          <w:color w:val="000000"/>
          <w:sz w:val="22"/>
        </w:rPr>
        <w:t> </w:t>
      </w:r>
      <w:r>
        <w:rPr>
          <w:rFonts w:ascii="Times New Roman" w:hAnsi="Times New Roman"/>
          <w:b w:val="false"/>
          <w:i w:val="false"/>
          <w:color w:val="000000"/>
          <w:sz w:val="22"/>
        </w:rPr>
        <w:t>The licensing authority shall grant or deny the credit requested in the military service application prior to ruling on the application for licensure. The applicant shall not be required to submit any fees in connection with the licensure application unless the licensing authority grants the credit requested in the military service application. If the licensing authority does not grant the credit requested in the military service application, the applicant may withdraw the licensure application or request that the licensure application be placed in pending status for up to one year or as mutually agreed. The withdrawal of a licensure application shall not preclude subsequent applications supported by additional documentation or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8128C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641—196.3</w:t>
      </w:r>
      <w:r>
        <w:rPr>
          <w:rFonts w:ascii="Times New Roman" w:hAnsi="Times New Roman"/>
          <w:b/>
          <w:i w:val="false"/>
          <w:color w:val="000000"/>
          <w:sz w:val="22"/>
        </w:rPr>
        <w:t xml:space="preserve">(272C,147D) </w:t>
      </w:r>
      <w:r>
        <w:rPr>
          <w:rFonts w:ascii="Times New Roman" w:hAnsi="Times New Roman"/>
          <w:b/>
          <w:i w:val="false"/>
          <w:color w:val="000000"/>
          <w:sz w:val="22"/>
        </w:rPr>
        <w:t xml:space="preserve">Veteran and active duty military spouse privilege to practice. </w:t>
      </w:r>
      <w:r>
        <w:rPr>
          <w:rFonts w:ascii="Times New Roman" w:hAnsi="Times New Roman"/>
          <w:b w:val="false"/>
          <w:i w:val="false"/>
          <w:color w:val="000000"/>
          <w:sz w:val="22"/>
        </w:rPr>
        <w:t xml:space="preserve">A veteran or spouse with an unrestricted license in another EMS personnel licensure jurisdiction may practice in Iowa pursuant to the EMS personnel licensure interstate compact described in Iowa Code section </w:t>
      </w:r>
      <w:hyperlink r:id="rId11">
        <w:r>
          <w:rPr>
            <w:rStyle w:val="Hyperlink"/>
            <w:rFonts w:ascii="Times New Roman" w:hAnsi="Times New Roman"/>
            <w:b w:val="false"/>
            <w:i w:val="false"/>
            <w:color w:val="000000"/>
            <w:sz w:val="22"/>
          </w:rPr>
          <w:t>147D.1</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8128C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2">
        <w:r>
          <w:rPr>
            <w:rStyle w:val="Hyperlink"/>
            <w:rFonts w:ascii="Times New Roman" w:hAnsi="Times New Roman"/>
            <w:b w:val="false"/>
            <w:i w:val="false"/>
            <w:color w:val="000000"/>
            <w:sz w:val="22"/>
          </w:rPr>
          <w:t>272C.4</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147D.1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1749C</w:t>
      </w:r>
      <w:r>
        <w:rPr>
          <w:rFonts w:ascii="Times New Roman" w:hAnsi="Times New Roman"/>
          <w:b w:val="false"/>
          <w:i w:val="false"/>
          <w:color w:val="000000"/>
          <w:sz w:val="21"/>
        </w:rPr>
        <w:t xml:space="preserve"> (Notice ARC 1646C, IAB 10/1/14)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[Filed ARC 5061C</w:t>
      </w:r>
      <w:r>
        <w:rPr>
          <w:rFonts w:ascii="Times New Roman" w:hAnsi="Times New Roman"/>
          <w:b w:val="false"/>
          <w:i w:val="false"/>
          <w:color w:val="000000"/>
          <w:sz w:val="21"/>
        </w:rPr>
        <w:t xml:space="preserve"> (Notice ARC 5000C, IAB 3/25/20)</w:t>
      </w:r>
      <w:r>
        <w:rPr>
          <w:rFonts w:ascii="Times New Roman" w:hAnsi="Times New Roman"/>
          <w:b w:val="false"/>
          <w:i w:val="false"/>
          <w:color w:val="000000"/>
          <w:sz w:val="21"/>
        </w:rPr>
        <w:t>, IAB 6/17/20, effective 7/22/20]</w:t>
      </w:r>
    </w:p>
    <w:p>
      <w:pPr>
        <w:spacing w:before="0" w:after="0"/>
        <w:ind w:left="120"/>
        <w:jc w:val="center"/>
      </w:pPr>
      <w:r>
        <w:rPr>
          <w:rFonts w:ascii="Times New Roman" w:hAnsi="Times New Roman"/>
          <w:b w:val="false"/>
          <w:i w:val="false"/>
          <w:color w:val="000000"/>
          <w:sz w:val="21"/>
        </w:rPr>
        <w:t>[Filed ARC 7032C</w:t>
      </w:r>
      <w:r>
        <w:rPr>
          <w:rFonts w:ascii="Times New Roman" w:hAnsi="Times New Roman"/>
          <w:b w:val="false"/>
          <w:i w:val="false"/>
          <w:color w:val="000000"/>
          <w:sz w:val="21"/>
        </w:rPr>
        <w:t xml:space="preserve"> (Notice ARC 6942C, IAB 3/8/23)</w:t>
      </w:r>
      <w:r>
        <w:rPr>
          <w:rFonts w:ascii="Times New Roman" w:hAnsi="Times New Roman"/>
          <w:b w:val="false"/>
          <w:i w:val="false"/>
          <w:color w:val="000000"/>
          <w:sz w:val="21"/>
        </w:rPr>
        <w:t>, IAB 5/31/23, effective 7/5/23]</w:t>
      </w:r>
    </w:p>
    <w:p>
      <w:pPr>
        <w:spacing w:before="0" w:after="0"/>
        <w:ind w:left="120"/>
        <w:jc w:val="center"/>
      </w:pPr>
      <w:r>
        <w:rPr>
          <w:rFonts w:ascii="Times New Roman" w:hAnsi="Times New Roman"/>
          <w:b w:val="false"/>
          <w:i w:val="false"/>
          <w:color w:val="000000"/>
          <w:sz w:val="21"/>
        </w:rPr>
        <w:t>[Filed ARC 8128C</w:t>
      </w:r>
      <w:r>
        <w:rPr>
          <w:rFonts w:ascii="Times New Roman" w:hAnsi="Times New Roman"/>
          <w:b w:val="false"/>
          <w:i w:val="false"/>
          <w:color w:val="000000"/>
          <w:sz w:val="21"/>
        </w:rPr>
        <w:t xml:space="preserve"> (Notice ARC 7337C, IAB 1/24/24)</w:t>
      </w:r>
      <w:r>
        <w:rPr>
          <w:rFonts w:ascii="Times New Roman" w:hAnsi="Times New Roman"/>
          <w:b w:val="false"/>
          <w:i w:val="false"/>
          <w:color w:val="000000"/>
          <w:sz w:val="21"/>
        </w:rPr>
        <w:t>, IAB 7/10/24, effective 8/14/24]</w:t>
      </w:r>
    </w:p>
    <w:p>
      <w:pPr>
        <w:spacing w:before="0" w:after="0"/>
        <w:ind w:left="120"/>
        <w:jc w:val="center"/>
      </w:pPr>
      <w:r>
        <w:rPr>
          <w:rFonts w:ascii="Times New Roman" w:hAnsi="Times New Roman"/>
          <w:b w:val="false"/>
          <w:i w:val="false"/>
          <w:color w:val="000000"/>
          <w:sz w:val="21"/>
        </w:rPr>
        <w:t>[Editorial change: IAC Supplement 6/10/26]</w:t>
      </w:r>
    </w:p>
    <w:sectPr>
      <w:footerReference r:id="rId1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D.1.pdf" Type="http://schemas.openxmlformats.org/officeDocument/2006/relationships/hyperlink" Id="rId5"/>
    <Relationship TargetMode="External" Target="https://www.legis.iowa.gov/docs/ico/chapter/272D.1.pdf" Type="http://schemas.openxmlformats.org/officeDocument/2006/relationships/hyperlink" Id="rId6"/>
    <Relationship TargetMode="External" Target="https://www.legis.iowa.gov/docs/ico/chapter/29A.1.pdf" Type="http://schemas.openxmlformats.org/officeDocument/2006/relationships/hyperlink" Id="rId7"/>
    <Relationship TargetMode="External" Target="https://www.legis.iowa.gov/docs/ico/chapter/35.1.pdf" Type="http://schemas.openxmlformats.org/officeDocument/2006/relationships/hyperlink" Id="rId8"/>
    <Relationship TargetMode="External" Target="https://www.legis.iowa.gov/docs/ico/chapter/147D.1.pdf" Type="http://schemas.openxmlformats.org/officeDocument/2006/relationships/hyperlink" Id="rId9"/>
    <Relationship TargetMode="External" Target="https://www.legis.iowa.gov/docs/iac/chapter/441.2506.pdf" Type="http://schemas.openxmlformats.org/officeDocument/2006/relationships/hyperlink" Id="rId10"/>
    <Relationship TargetMode="External" Target="https://www.legis.iowa.gov/docs/ico/chapter/147D.1.pdf" Type="http://schemas.openxmlformats.org/officeDocument/2006/relationships/hyperlink" Id="rId11"/>
    <Relationship TargetMode="External" Target="https://www.legis.iowa.gov/docs/ico/chapter/272C.4.pdf" Type="http://schemas.openxmlformats.org/officeDocument/2006/relationships/hyperlink" Id="rId12"/>
    <Relationship TargetMode="External" Target="https://www.legis.iowa.gov/docs/ico/chapter/147D.1.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