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194</w:t>
      </w:r>
    </w:p>
    <w:p>
      <w:pPr>
        <w:spacing w:before="0" w:after="0"/>
        <w:ind w:left="120"/>
        <w:jc w:val="center"/>
      </w:pPr>
      <w:r>
        <w:rPr>
          <w:rFonts w:ascii="Times New Roman" w:hAnsi="Times New Roman"/>
          <w:b w:val="false"/>
          <w:i w:val="false"/>
          <w:color w:val="000000"/>
          <w:sz w:val="21"/>
        </w:rPr>
        <w:t>NONPAYMENT OF STATE DEBT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641—194.1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collection unit” </w:t>
      </w:r>
      <w:r>
        <w:rPr>
          <w:rFonts w:ascii="Times New Roman" w:hAnsi="Times New Roman"/>
          <w:b w:val="false"/>
          <w:i w:val="false"/>
          <w:color w:val="000000"/>
          <w:sz w:val="22"/>
        </w:rPr>
        <w:t>means the centralized collection unit of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 xml:space="preserve">means a licensing authority notification denying an application for the issuance or renewal of a license as required by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means a board, commission, or any other entity of the department that has authority within this state to suspend or revoke a license or deny the renewal or issuance of a license authorizing a person to engage in a business, occupation,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 xml:space="preserve">means a licensing authority notification suspending a license for an indefinite or specified period of time or a notification revoking a license as required by Iowa Code chapter </w:t>
      </w:r>
      <w:hyperlink r:id="rId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641—194.2</w:t>
      </w:r>
      <w:r>
        <w:rPr>
          <w:rFonts w:ascii="Times New Roman" w:hAnsi="Times New Roman"/>
          <w:b/>
          <w:i w:val="false"/>
          <w:color w:val="000000"/>
          <w:sz w:val="22"/>
        </w:rPr>
        <w:t xml:space="preserve">(272D) </w:t>
      </w:r>
      <w:r>
        <w:rPr>
          <w:rFonts w:ascii="Times New Roman" w:hAnsi="Times New Roman"/>
          <w:b/>
          <w:i w:val="false"/>
          <w:color w:val="000000"/>
          <w:sz w:val="22"/>
        </w:rPr>
        <w:t xml:space="preserve">Denial of issuance or renewal of a license or suspension or revocation of a license. </w:t>
      </w:r>
      <w:r>
        <w:rPr>
          <w:rFonts w:ascii="Times New Roman" w:hAnsi="Times New Roman"/>
          <w:b w:val="false"/>
          <w:i w:val="false"/>
          <w:color w:val="000000"/>
          <w:sz w:val="22"/>
        </w:rPr>
        <w:t xml:space="preserve">The licensing authority shall deny the issuance or renewal of a license or suspend or revoke a license upon the receipt of a certificate of noncompliance from the centralized collection unit per the procedure set forth in Iowa Code chapter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This rule shall apply in addition to the procedures set forth in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suspension or revocation notice. </w:t>
      </w:r>
      <w:r>
        <w:rPr>
          <w:rFonts w:ascii="Times New Roman" w:hAnsi="Times New Roman"/>
          <w:b w:val="false"/>
          <w:i w:val="false"/>
          <w:color w:val="000000"/>
          <w:sz w:val="22"/>
        </w:rPr>
        <w:t>Notice will be served upon the applicant or licensee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194.2(2)</w:t>
      </w:r>
      <w:r>
        <w:rPr>
          <w:rFonts w:ascii="Times New Roman" w:hAnsi="Times New Roman"/>
          <w:b w:val="false"/>
          <w:i w:val="false"/>
          <w:color w:val="000000"/>
          <w:sz w:val="22"/>
        </w:rPr>
        <w:t> </w:t>
      </w:r>
      <w:r>
        <w:rPr>
          <w:rFonts w:ascii="Times New Roman" w:hAnsi="Times New Roman"/>
          <w:b w:val="false"/>
          <w:i/>
          <w:color w:val="000000"/>
          <w:sz w:val="22"/>
        </w:rPr>
        <w:t xml:space="preserve">Licensees and applicants responsible to inform licensing authority. </w:t>
      </w:r>
      <w:r>
        <w:rPr>
          <w:rFonts w:ascii="Times New Roman" w:hAnsi="Times New Roman"/>
          <w:b w:val="false"/>
          <w:i w:val="false"/>
          <w:color w:val="000000"/>
          <w:sz w:val="22"/>
        </w:rPr>
        <w:t xml:space="preserve">Licensees and applicants shall keep the licensing authority informed of all court actions and all centralized collection unit actions taken under or in connection with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Licensees and applicants shall also provide the licensing authority copies, within seven days of filing or issuance, of all applications filed with the district court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all court orders entered in such actions, and any withdrawals of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suspension or revocation. </w:t>
      </w:r>
      <w:r>
        <w:rPr>
          <w:rFonts w:ascii="Times New Roman" w:hAnsi="Times New Roman"/>
          <w:b w:val="false"/>
          <w:i w:val="false"/>
          <w:color w:val="000000"/>
          <w:sz w:val="22"/>
        </w:rPr>
        <w:t xml:space="preserve">All licensing authority fees required for application, license renewal, or license reinstatement must be paid by applicants or licensees before a license will be issued, renewed, or reinstated after the licensing authority has denied the issuance or renewal of a license or suspended or revoked a license pursuant to Iowa Code chapter </w:t>
      </w:r>
      <w:hyperlink r:id="rId1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194.2(4)</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an applicant or a licensee files a timely district court action following service of a denial notice by a licensing authority or service of a revocation or suspension notice, the licensing authority will continue with the intended action described in the notice upon the receipt of a court order lifting the stay, dismissing the action, or otherwise directing the licensing authority to proceed. For purposes of determining the effective date of the denial of the issuance or renewal of a license or of the suspension or revocation of a license, the licensing authority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194.2(5)</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licensing authority will notify the applicant or licensee in writing through regular first-class mail, or by such other means as the licensing authority determines appropriate in the circumstances, and will similarly notify the applicant or licensee if the license is issued or renewed following the licensing authority’s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641—194.3</w:t>
      </w:r>
      <w:r>
        <w:rPr>
          <w:rFonts w:ascii="Times New Roman" w:hAnsi="Times New Roman"/>
          <w:b/>
          <w:i w:val="false"/>
          <w:color w:val="000000"/>
          <w:sz w:val="22"/>
        </w:rPr>
        <w:t xml:space="preserve">(272D)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The department may share applicant or licensee information with the centralized collection unit pursuant to Iowa Code chapter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7671B</w:t>
      </w:r>
      <w:r>
        <w:rPr>
          <w:rFonts w:ascii="Times New Roman" w:hAnsi="Times New Roman"/>
          <w:b w:val="false"/>
          <w:i w:val="false"/>
          <w:color w:val="000000"/>
          <w:sz w:val="21"/>
        </w:rPr>
        <w:t xml:space="preserve"> (Notice ARC 7540B,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8127C</w:t>
      </w:r>
      <w:r>
        <w:rPr>
          <w:rFonts w:ascii="Times New Roman" w:hAnsi="Times New Roman"/>
          <w:b w:val="false"/>
          <w:i w:val="false"/>
          <w:color w:val="000000"/>
          <w:sz w:val="21"/>
        </w:rPr>
        <w:t xml:space="preserve"> (Notice ARC 7361C,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co/chapter/272D.1.pdf" Type="http://schemas.openxmlformats.org/officeDocument/2006/relationships/hyperlink" Id="rId7"/>
    <Relationship TargetMode="External" Target="https://www.legis.iowa.gov/docs/ico/chapter/272D.pdf" Type="http://schemas.openxmlformats.org/officeDocument/2006/relationships/hyperlink" Id="rId8"/>
    <Relationship TargetMode="External" Target="https://www.legis.iowa.gov/docs/ico/chapter/272D.1.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co/chapter/272D.pdf" Type="http://schemas.openxmlformats.org/officeDocument/2006/relationships/hyperlink" Id="rId14"/>
    <Relationship TargetMode="External" Target="https://www.legis.iowa.gov/docs/ico/chapter/272D.pdf" Type="http://schemas.openxmlformats.org/officeDocument/2006/relationships/hyperlink" Id="rId15"/>
    <Relationship TargetMode="External" Target="https://www.legis.iowa.gov/docs/ico/chapter/272D.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