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192</w:t>
      </w:r>
    </w:p>
    <w:p>
      <w:pPr>
        <w:spacing w:before="0" w:after="0"/>
        <w:ind w:left="120"/>
        <w:jc w:val="center"/>
      </w:pPr>
      <w:r>
        <w:rPr>
          <w:rFonts w:ascii="Times New Roman" w:hAnsi="Times New Roman"/>
          <w:b w:val="false"/>
          <w:i w:val="false"/>
          <w:color w:val="000000"/>
          <w:sz w:val="21"/>
        </w:rPr>
        <w:t>CHILD SUPPORT 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4/1/31</w:t>
      </w:r>
    </w:p>
    <w:p>
      <w:pPr>
        <w:spacing w:before="0" w:after="0"/>
        <w:ind w:left="120"/>
        <w:jc w:val="both"/>
      </w:pPr>
      <w:r>
        <w:rPr>
          <w:rFonts w:ascii="Times New Roman" w:hAnsi="Times New Roman"/>
          <w:b/>
          <w:i w:val="false"/>
          <w:color w:val="000000"/>
          <w:sz w:val="22"/>
        </w:rPr>
        <w:t>641—192.1</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document as defined in Iowa Code section </w:t>
      </w:r>
      <w:hyperlink r:id="rId5">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that is provided by child support services certifying that the applicant or licensee has defaulted on an obligation owed to or collected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authority”</w:t>
      </w:r>
      <w:r>
        <w:rPr>
          <w:rFonts w:ascii="Times New Roman" w:hAnsi="Times New Roman"/>
          <w:b w:val="false"/>
          <w:i w:val="false"/>
          <w:color w:val="000000"/>
          <w:sz w:val="22"/>
        </w:rPr>
        <w:t> </w:t>
      </w:r>
      <w:r>
        <w:rPr>
          <w:rFonts w:ascii="Times New Roman" w:hAnsi="Times New Roman"/>
          <w:b w:val="false"/>
          <w:i w:val="false"/>
          <w:color w:val="000000"/>
          <w:sz w:val="22"/>
        </w:rPr>
        <w:t>means a board, commission, or any other entity of the department that has authority within this state to suspend or revoke a license or deny the renewal or issuance of a license authorizing a person to engage in a business, occupation, or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0077D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641—192.2</w:t>
      </w:r>
      <w:r>
        <w:rPr>
          <w:rFonts w:ascii="Times New Roman" w:hAnsi="Times New Roman"/>
          <w:b/>
          <w:i w:val="false"/>
          <w:color w:val="000000"/>
          <w:sz w:val="22"/>
        </w:rPr>
        <w:t xml:space="preserve">(252J) </w:t>
      </w:r>
      <w:r>
        <w:rPr>
          <w:rFonts w:ascii="Times New Roman" w:hAnsi="Times New Roman"/>
          <w:b/>
          <w:i w:val="false"/>
          <w:color w:val="000000"/>
          <w:sz w:val="22"/>
        </w:rPr>
        <w:t xml:space="preserve">Denial of issuance or renewal of a license or suspension or revocation of a license. </w:t>
      </w:r>
      <w:r>
        <w:rPr>
          <w:rFonts w:ascii="Times New Roman" w:hAnsi="Times New Roman"/>
          <w:b w:val="false"/>
          <w:i w:val="false"/>
          <w:color w:val="000000"/>
          <w:sz w:val="22"/>
        </w:rPr>
        <w:t xml:space="preserve">The licensing authority will deny the issuance or renewal of a license or suspend or revoke a license upon the receipt of a certificate of noncompliance from child support services according to the procedures in Iowa Code chapter </w:t>
      </w:r>
      <w:hyperlink r:id="rId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section </w:t>
      </w:r>
      <w:hyperlink r:id="rId8">
        <w:r>
          <w:rPr>
            <w:rStyle w:val="Hyperlink"/>
            <w:rFonts w:ascii="Times New Roman" w:hAnsi="Times New Roman"/>
            <w:b w:val="false"/>
            <w:i w:val="false"/>
            <w:color w:val="000000"/>
            <w:sz w:val="22"/>
          </w:rPr>
          <w:t>252J.3(7)</w:t>
        </w:r>
      </w:hyperlink>
      <w:r>
        <w:rPr>
          <w:rFonts w:ascii="Times New Roman" w:hAnsi="Times New Roman"/>
          <w:b w:val="false"/>
          <w:i w:val="false"/>
          <w:color w:val="000000"/>
          <w:sz w:val="22"/>
        </w:rPr>
        <w: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applicant or licensee by restricted certified mail, return receipt requested, or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Alternatively, the applicant or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192.2(2)</w:t>
      </w:r>
      <w:r>
        <w:rPr>
          <w:rFonts w:ascii="Times New Roman" w:hAnsi="Times New Roman"/>
          <w:b w:val="false"/>
          <w:i w:val="false"/>
          <w:color w:val="000000"/>
          <w:sz w:val="22"/>
        </w:rPr>
        <w:t> </w:t>
      </w:r>
      <w:r>
        <w:rPr>
          <w:rFonts w:ascii="Times New Roman" w:hAnsi="Times New Roman"/>
          <w:b w:val="false"/>
          <w:i w:val="false"/>
          <w:color w:val="000000"/>
          <w:sz w:val="22"/>
        </w:rPr>
        <w:t>The suspension, revocation, or denial will be effective no sooner than 30 days following provision of notice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shall keep the licensing authority informed of all court actions, and all child support services actions taken under or in connection with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licensing authority copies, within seven days of filing or issuance, of all applications filed with the district court pursuant to Iowa Code section </w:t>
      </w:r>
      <w:hyperlink r:id="rId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application, license renewal, or license reinstatement must be paid by applicants or licensees before a license will be issued, renewed, or reinstated after the licensing authority has denied the issuance or renewal of a license pursuant to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licensee timely files a district court action following service of a licensing authority notice pursuant to Iowa Code sections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licensing authority will continue with the intended action described in the notice upon the receipt of a court order lifting the stay, dismissing the action, or otherwise directing the licensing authority to proceed. For purposes of determining the effective date of the denial of the issuance, renewal, suspension or revocation of a license,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192.2(6)</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notify the applicant or licensee in writing through regular first-class mail, or such other means as the licensing authority determines appropriate in the circumstances, within ten days of the effective date of the denial of the issuance or renewal of a license and will similarly notify the applicant or licensee if the license is issued or renewed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0077D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641—192.3</w:t>
      </w:r>
      <w:r>
        <w:rPr>
          <w:rFonts w:ascii="Times New Roman" w:hAnsi="Times New Roman"/>
          <w:b/>
          <w:i w:val="false"/>
          <w:color w:val="000000"/>
          <w:sz w:val="22"/>
        </w:rPr>
        <w:t xml:space="preserve">(17A,22,252J)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Notwithstanding any statutory confidentiality provision, the licensing authority may share information with child support services through manual or automated means for the sole purpose of identifying applicants or licensees subject to enforcement under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0077D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1/11/96 after Notice 12/6/95—published 1/31/96, effective 1/11/96]</w:t>
      </w:r>
    </w:p>
    <w:p>
      <w:pPr>
        <w:spacing w:before="0" w:after="0"/>
        <w:ind w:left="120"/>
        <w:jc w:val="center"/>
      </w:pPr>
      <w:r>
        <w:rPr>
          <w:rFonts w:ascii="Times New Roman" w:hAnsi="Times New Roman"/>
          <w:b w:val="false"/>
          <w:i w:val="false"/>
          <w:color w:val="000000"/>
          <w:sz w:val="21"/>
        </w:rPr>
        <w:t>[Filed ARC 8798B</w:t>
      </w:r>
      <w:r>
        <w:rPr>
          <w:rFonts w:ascii="Times New Roman" w:hAnsi="Times New Roman"/>
          <w:b w:val="false"/>
          <w:i w:val="false"/>
          <w:color w:val="000000"/>
          <w:sz w:val="21"/>
        </w:rPr>
        <w:t xml:space="preserve"> (Notice ARC 8631B,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0077D</w:t>
      </w:r>
      <w:r>
        <w:rPr>
          <w:rFonts w:ascii="Times New Roman" w:hAnsi="Times New Roman"/>
          <w:b w:val="false"/>
          <w:i w:val="false"/>
          <w:color w:val="000000"/>
          <w:sz w:val="21"/>
        </w:rPr>
        <w:t xml:space="preserve"> (Notice ARC 9668C, IAB 11/12/25)</w:t>
      </w:r>
      <w:r>
        <w:rPr>
          <w:rFonts w:ascii="Times New Roman" w:hAnsi="Times New Roman"/>
          <w:b w:val="false"/>
          <w:i w:val="false"/>
          <w:color w:val="000000"/>
          <w:sz w:val="21"/>
        </w:rPr>
        <w:t>, IAB 2/18/26, effective 4/1/26]</w:t>
      </w:r>
    </w:p>
    <w:sectPr>
      <w:footerReference r:id="rId1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1.pdf" Type="http://schemas.openxmlformats.org/officeDocument/2006/relationships/hyperlink" Id="rId5"/>
    <Relationship TargetMode="External" Target="https://www.legis.iowa.gov/docs/ico/chapter/252J.1.pdf" Type="http://schemas.openxmlformats.org/officeDocument/2006/relationships/hyperlink" Id="rId6"/>
    <Relationship TargetMode="External" Target="https://www.legis.iowa.gov/docs/ico/chapter/252J.pdf" Type="http://schemas.openxmlformats.org/officeDocument/2006/relationships/hyperlink" Id="rId7"/>
    <Relationship TargetMode="External" Target="https://www.legis.iowa.gov/docs/ico/chapter/252J.3.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9.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598.pdf" Type="http://schemas.openxmlformats.org/officeDocument/2006/relationships/hyperlink" Id="rId16"/>
    <Relationship TargetMode="External" Target="https://www.legis.iowa.gov/docs/ico/chapter/252J.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